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eastAsia="黑体" w:cs="Calibri"/>
          <w:b/>
          <w:sz w:val="44"/>
          <w:szCs w:val="44"/>
        </w:rPr>
      </w:pPr>
      <w:bookmarkStart w:id="0" w:name="OLE_LINK1"/>
      <w:bookmarkStart w:id="1" w:name="OLE_LINK2"/>
      <w:r>
        <w:rPr>
          <w:rFonts w:hint="eastAsia" w:eastAsia="黑体" w:cs="Calibri"/>
          <w:b/>
          <w:sz w:val="44"/>
          <w:szCs w:val="44"/>
          <w:u w:val="single"/>
        </w:rPr>
        <w:t>员工集体宿舍防火门更换</w:t>
      </w:r>
      <w:bookmarkEnd w:id="0"/>
      <w:r>
        <w:rPr>
          <w:rFonts w:hint="eastAsia" w:eastAsia="黑体" w:cs="Calibri"/>
          <w:b/>
          <w:sz w:val="44"/>
          <w:szCs w:val="44"/>
        </w:rPr>
        <w:t>项目</w:t>
      </w:r>
    </w:p>
    <w:p>
      <w:pPr>
        <w:widowControl/>
        <w:autoSpaceDE w:val="0"/>
        <w:autoSpaceDN w:val="0"/>
        <w:jc w:val="center"/>
        <w:textAlignment w:val="bottom"/>
        <w:rPr>
          <w:rFonts w:hint="eastAsia" w:eastAsia="黑体" w:cs="Calibri"/>
          <w:b/>
          <w:sz w:val="44"/>
          <w:szCs w:val="44"/>
          <w:lang w:eastAsia="zh-CN"/>
        </w:rPr>
      </w:pPr>
      <w:r>
        <w:rPr>
          <w:rFonts w:hint="eastAsia" w:eastAsia="黑体" w:cs="Calibri"/>
          <w:b/>
          <w:sz w:val="44"/>
          <w:szCs w:val="44"/>
          <w:lang w:eastAsia="zh-CN"/>
        </w:rPr>
        <w:t>（重新招标）</w:t>
      </w:r>
    </w:p>
    <w:bookmarkEnd w:id="1"/>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十</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both"/>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- 2 -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- 4 -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- 25 -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- 25 -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13"/>
      </w:pPr>
      <w:bookmarkStart w:id="2" w:name="_Toc321925451"/>
      <w:r>
        <w:rPr>
          <w:rFonts w:hint="eastAsia"/>
        </w:rPr>
        <w:t>第一章 招标公告</w:t>
      </w:r>
      <w:bookmarkEnd w:id="2"/>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kern w:val="0"/>
          <w:sz w:val="22"/>
          <w:szCs w:val="22"/>
        </w:rPr>
        <w:t>机员工集体宿舍防火门更换项目进行公开招标，欢迎符合资格要求的供应商参与投标。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15"/>
        <w:tblpPr w:leftFromText="180" w:rightFromText="180" w:vertAnchor="text" w:horzAnchor="page" w:tblpX="1476" w:tblpY="128"/>
        <w:tblOverlap w:val="never"/>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203"/>
        <w:gridCol w:w="2956"/>
        <w:gridCol w:w="1797"/>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6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1203"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r>
              <w:rPr>
                <w:rFonts w:hint="eastAsia" w:asciiTheme="minorEastAsia" w:hAnsiTheme="minorEastAsia"/>
                <w:caps/>
                <w:sz w:val="22"/>
                <w:szCs w:val="22"/>
              </w:rPr>
              <w:t>/樘</w:t>
            </w:r>
          </w:p>
        </w:tc>
        <w:tc>
          <w:tcPr>
            <w:tcW w:w="2956"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1797"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2046"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1168"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防火门（含五金配件）</w:t>
            </w:r>
          </w:p>
        </w:tc>
        <w:tc>
          <w:tcPr>
            <w:tcW w:w="1203"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56</w:t>
            </w:r>
          </w:p>
        </w:tc>
        <w:tc>
          <w:tcPr>
            <w:tcW w:w="2956" w:type="dxa"/>
            <w:vAlign w:val="center"/>
          </w:tcPr>
          <w:p>
            <w:pPr>
              <w:pStyle w:val="3"/>
              <w:snapToGrid w:val="0"/>
              <w:rPr>
                <w:rFonts w:asciiTheme="minorEastAsia" w:hAnsiTheme="minorEastAsia"/>
                <w:sz w:val="22"/>
                <w:szCs w:val="22"/>
              </w:rPr>
            </w:pPr>
            <w:r>
              <w:rPr>
                <w:rFonts w:hint="eastAsia" w:asciiTheme="minorEastAsia" w:hAnsiTheme="minorEastAsia"/>
                <w:sz w:val="22"/>
                <w:szCs w:val="22"/>
              </w:rPr>
              <w:t>甲级钢制防火门（带亮子），</w:t>
            </w:r>
          </w:p>
          <w:p>
            <w:pPr>
              <w:pStyle w:val="3"/>
              <w:snapToGrid w:val="0"/>
              <w:rPr>
                <w:rFonts w:asciiTheme="minorEastAsia" w:hAnsiTheme="minorEastAsia"/>
                <w:sz w:val="22"/>
                <w:szCs w:val="22"/>
              </w:rPr>
            </w:pPr>
            <w:r>
              <w:rPr>
                <w:rFonts w:hint="eastAsia" w:asciiTheme="minorEastAsia" w:hAnsiTheme="minorEastAsia"/>
                <w:sz w:val="22"/>
                <w:szCs w:val="22"/>
              </w:rPr>
              <w:t>耐火性能≥1.5h，</w:t>
            </w:r>
          </w:p>
          <w:p>
            <w:pPr>
              <w:pStyle w:val="3"/>
              <w:snapToGrid w:val="0"/>
              <w:rPr>
                <w:rFonts w:asciiTheme="minorEastAsia" w:hAnsiTheme="minorEastAsia"/>
                <w:sz w:val="22"/>
                <w:szCs w:val="22"/>
              </w:rPr>
            </w:pPr>
            <w:r>
              <w:rPr>
                <w:rFonts w:hint="eastAsia" w:asciiTheme="minorEastAsia" w:hAnsiTheme="minorEastAsia"/>
                <w:sz w:val="22"/>
                <w:szCs w:val="22"/>
              </w:rPr>
              <w:t>防火门总面积约209.5㎡</w:t>
            </w:r>
          </w:p>
        </w:tc>
        <w:tc>
          <w:tcPr>
            <w:tcW w:w="1797"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60</w:t>
            </w:r>
            <w:r>
              <w:rPr>
                <w:rFonts w:hint="eastAsia" w:asciiTheme="minorEastAsia" w:hAnsiTheme="minorEastAsia"/>
                <w:sz w:val="22"/>
                <w:szCs w:val="22"/>
              </w:rPr>
              <w:t>日历天</w:t>
            </w:r>
          </w:p>
        </w:tc>
        <w:tc>
          <w:tcPr>
            <w:tcW w:w="2046" w:type="dxa"/>
            <w:vAlign w:val="center"/>
          </w:tcPr>
          <w:p>
            <w:pPr>
              <w:numPr>
                <w:ilvl w:val="0"/>
                <w:numId w:val="1"/>
              </w:numPr>
              <w:adjustRightInd w:val="0"/>
              <w:snapToGrid w:val="0"/>
              <w:jc w:val="left"/>
              <w:rPr>
                <w:rFonts w:cs="Arial" w:asciiTheme="minorEastAsia" w:hAnsiTheme="minorEastAsia"/>
                <w:kern w:val="0"/>
                <w:sz w:val="22"/>
                <w:szCs w:val="22"/>
              </w:rPr>
            </w:pPr>
            <w:r>
              <w:rPr>
                <w:rFonts w:hint="eastAsia" w:cs="Arial" w:asciiTheme="minorEastAsia" w:hAnsiTheme="minorEastAsia"/>
                <w:kern w:val="0"/>
                <w:sz w:val="22"/>
                <w:szCs w:val="22"/>
              </w:rPr>
              <w:t>送货至机场员工集体宿舍并负责安装。</w:t>
            </w:r>
          </w:p>
          <w:p>
            <w:pPr>
              <w:numPr>
                <w:ilvl w:val="0"/>
                <w:numId w:val="1"/>
              </w:numPr>
              <w:adjustRightInd w:val="0"/>
              <w:snapToGrid w:val="0"/>
              <w:jc w:val="left"/>
              <w:rPr>
                <w:rFonts w:asciiTheme="minorEastAsia" w:hAnsiTheme="minorEastAsia"/>
                <w:sz w:val="22"/>
                <w:szCs w:val="22"/>
              </w:rPr>
            </w:pPr>
            <w:r>
              <w:rPr>
                <w:rFonts w:hint="eastAsia" w:cs="Arial" w:asciiTheme="minorEastAsia" w:hAnsiTheme="minorEastAsia"/>
                <w:kern w:val="0"/>
                <w:sz w:val="22"/>
                <w:szCs w:val="22"/>
              </w:rPr>
              <w:t>原防火门拆除、外运及垃圾清理。</w:t>
            </w:r>
          </w:p>
          <w:p>
            <w:pPr>
              <w:numPr>
                <w:ilvl w:val="0"/>
                <w:numId w:val="1"/>
              </w:numPr>
              <w:adjustRightInd w:val="0"/>
              <w:snapToGrid w:val="0"/>
              <w:jc w:val="left"/>
              <w:rPr>
                <w:rFonts w:asciiTheme="minorEastAsia" w:hAnsiTheme="minorEastAsia"/>
                <w:sz w:val="22"/>
                <w:szCs w:val="22"/>
              </w:rPr>
            </w:pPr>
            <w:r>
              <w:rPr>
                <w:rFonts w:hint="eastAsia" w:cs="Arial" w:asciiTheme="minorEastAsia" w:hAnsiTheme="minorEastAsia"/>
                <w:kern w:val="0"/>
                <w:sz w:val="22"/>
                <w:szCs w:val="22"/>
              </w:rPr>
              <w:t>原防火门拆除后门洞（含相连墙体、瓷砖及踢脚线）修补还原。</w:t>
            </w:r>
          </w:p>
        </w:tc>
      </w:tr>
    </w:tbl>
    <w:p>
      <w:pPr>
        <w:widowControl/>
        <w:snapToGrid w:val="0"/>
        <w:spacing w:line="340" w:lineRule="exact"/>
        <w:jc w:val="left"/>
        <w:rPr>
          <w:rFonts w:cs="Arial" w:asciiTheme="minorEastAsia" w:hAnsiTheme="minorEastAsia"/>
          <w:b/>
          <w:bCs/>
          <w:kern w:val="0"/>
          <w:sz w:val="22"/>
          <w:szCs w:val="22"/>
        </w:rPr>
      </w:pPr>
    </w:p>
    <w:p>
      <w:pPr>
        <w:widowControl/>
        <w:snapToGrid w:val="0"/>
        <w:spacing w:line="340" w:lineRule="exact"/>
        <w:jc w:val="left"/>
        <w:rPr>
          <w:rFonts w:cs="Arial" w:asciiTheme="minorEastAsia" w:hAnsiTheme="minorEastAsia"/>
          <w:b/>
          <w:bCs/>
          <w:kern w:val="0"/>
          <w:sz w:val="22"/>
          <w:szCs w:val="22"/>
        </w:rPr>
      </w:pPr>
      <w:r>
        <w:rPr>
          <w:rFonts w:cs="Arial" w:asciiTheme="minorEastAsia" w:hAnsiTheme="minorEastAsia"/>
          <w:b/>
          <w:bCs/>
          <w:kern w:val="0"/>
          <w:sz w:val="22"/>
          <w:szCs w:val="22"/>
        </w:rPr>
        <w:t> </w:t>
      </w:r>
      <w:r>
        <w:rPr>
          <w:rFonts w:hint="eastAsia" w:cs="Arial" w:asciiTheme="minorEastAsia" w:hAnsiTheme="minorEastAsia"/>
          <w:b/>
          <w:bCs/>
          <w:kern w:val="0"/>
          <w:sz w:val="22"/>
          <w:szCs w:val="22"/>
        </w:rPr>
        <w:t>二、投标人资格要求</w:t>
      </w:r>
    </w:p>
    <w:p>
      <w:pPr>
        <w:widowControl/>
        <w:numPr>
          <w:ilvl w:val="0"/>
          <w:numId w:val="0"/>
        </w:numPr>
        <w:adjustRightInd w:val="0"/>
        <w:snapToGrid w:val="0"/>
        <w:spacing w:line="340" w:lineRule="exact"/>
        <w:ind w:firstLine="480" w:firstLineChars="200"/>
        <w:rPr>
          <w:rFonts w:cs="Arial" w:asciiTheme="minorEastAsia" w:hAnsiTheme="minorEastAsia"/>
          <w:kern w:val="0"/>
          <w:sz w:val="22"/>
          <w:szCs w:val="22"/>
        </w:rPr>
      </w:pPr>
      <w:r>
        <w:rPr>
          <w:rStyle w:val="16"/>
          <w:rFonts w:hint="eastAsia" w:cs="Arial"/>
          <w:kern w:val="0"/>
        </w:rPr>
        <w:t>（</w:t>
      </w:r>
      <w:r>
        <w:rPr>
          <w:rStyle w:val="16"/>
          <w:rFonts w:cs="Arial"/>
          <w:kern w:val="0"/>
        </w:rPr>
        <w:t>1）</w:t>
      </w:r>
      <w:r>
        <w:rPr>
          <w:rStyle w:val="16"/>
          <w:rFonts w:hint="eastAsia" w:cs="Arial"/>
          <w:kern w:val="0"/>
        </w:rPr>
        <w:t>具有独立法人资格的制造商或代理商，注册资金不少于人民币</w:t>
      </w:r>
      <w:r>
        <w:rPr>
          <w:rStyle w:val="16"/>
          <w:rFonts w:cs="Arial"/>
          <w:kern w:val="0"/>
        </w:rPr>
        <w:t>300</w:t>
      </w:r>
      <w:r>
        <w:rPr>
          <w:rStyle w:val="16"/>
          <w:rFonts w:hint="eastAsia" w:cs="Arial"/>
          <w:kern w:val="0"/>
        </w:rPr>
        <w:t>万元或等值外币</w:t>
      </w:r>
      <w:r>
        <w:rPr>
          <w:rStyle w:val="16"/>
          <w:rFonts w:cs="Arial"/>
          <w:kern w:val="0"/>
        </w:rPr>
        <w:t>(按投标截止日中国人民银行公布的汇率中间价换算)</w:t>
      </w:r>
      <w:r>
        <w:rPr>
          <w:rFonts w:cs="Arial" w:asciiTheme="minorEastAsia" w:hAnsiTheme="minorEastAsia"/>
          <w:kern w:val="0"/>
          <w:sz w:val="22"/>
          <w:szCs w:val="22"/>
        </w:rPr>
        <w:t xml:space="preserve"> </w:t>
      </w:r>
      <w:r>
        <w:rPr>
          <w:rFonts w:hint="eastAsia" w:cs="Arial" w:asciiTheme="minorEastAsia" w:hAnsiTheme="minorEastAsia"/>
          <w:kern w:val="0"/>
          <w:sz w:val="22"/>
          <w:szCs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left="0"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t>
      </w:r>
      <w:r>
        <w:rPr>
          <w:rFonts w:cs="Arial" w:asciiTheme="minorEastAsia" w:hAnsiTheme="minorEastAsia"/>
          <w:kern w:val="0"/>
          <w:sz w:val="22"/>
          <w:szCs w:val="22"/>
        </w:rPr>
        <w:t xml:space="preserve">www.creditchina.gov.cn </w:t>
      </w:r>
      <w:r>
        <w:rPr>
          <w:rFonts w:hint="eastAsia" w:cs="Arial" w:asciiTheme="minorEastAsia" w:hAnsiTheme="minorEastAsia"/>
          <w:kern w:val="0"/>
          <w:sz w:val="22"/>
          <w:szCs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left="0"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（3）近年（201</w:t>
      </w:r>
      <w:r>
        <w:rPr>
          <w:rFonts w:cs="Arial" w:asciiTheme="minorEastAsia" w:hAnsiTheme="minorEastAsia"/>
          <w:kern w:val="0"/>
          <w:sz w:val="22"/>
          <w:szCs w:val="22"/>
        </w:rPr>
        <w:t>6</w:t>
      </w:r>
      <w:r>
        <w:rPr>
          <w:rFonts w:hint="eastAsia" w:cs="Arial" w:asciiTheme="minorEastAsia" w:hAnsiTheme="minorEastAsia"/>
          <w:kern w:val="0"/>
          <w:sz w:val="22"/>
          <w:szCs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4</w:t>
      </w:r>
      <w:r>
        <w:rPr>
          <w:rFonts w:hint="eastAsia" w:cs="Arial" w:asciiTheme="minorEastAsia" w:hAnsiTheme="minorEastAsia"/>
          <w:kern w:val="0"/>
          <w:sz w:val="22"/>
          <w:szCs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（5）代理商需具有招标设备制造商的授权书（需提供授权书复印件并加盖投标人公章作为证明材料，原件备查）。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6</w:t>
      </w:r>
      <w:r>
        <w:rPr>
          <w:rFonts w:hint="eastAsia" w:cs="Arial" w:asciiTheme="minorEastAsia" w:hAnsiTheme="minorEastAsia"/>
          <w:kern w:val="0"/>
          <w:sz w:val="22"/>
          <w:szCs w:val="22"/>
        </w:rPr>
        <w:t>）投标人近三年（2016年1月1日至投标截止日）具有类似项目销售业绩（需提供防火门销售合同复印件并加盖投标人公章作为证明材料，原件备查）。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cs="Arial" w:asciiTheme="minorEastAsia" w:hAnsiTheme="minorEastAsia"/>
          <w:kern w:val="0"/>
          <w:sz w:val="22"/>
          <w:szCs w:val="22"/>
        </w:rPr>
        <w:t>（</w:t>
      </w:r>
      <w:r>
        <w:rPr>
          <w:rFonts w:hint="eastAsia" w:cs="Arial" w:asciiTheme="minorEastAsia" w:hAnsiTheme="minorEastAsia"/>
          <w:kern w:val="0"/>
          <w:sz w:val="22"/>
          <w:szCs w:val="22"/>
        </w:rPr>
        <w:t>7）投标产品（防火门、闭门器）应取得消防产品认证证书，且认证证书在有效期内（须提供认证证书复印件，且该信息能够在中国消防产品质量信息查询系统中得到证实）。</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8</w:t>
      </w:r>
      <w:r>
        <w:rPr>
          <w:rFonts w:hint="eastAsia" w:cs="Arial" w:asciiTheme="minorEastAsia" w:hAnsiTheme="minorEastAsia"/>
          <w:kern w:val="0"/>
          <w:sz w:val="22"/>
          <w:szCs w:val="22"/>
        </w:rPr>
        <w:t>）</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投标文件递交的截止时间（投标截止时间，下同）为</w:t>
      </w:r>
      <w:r>
        <w:rPr>
          <w:rFonts w:hint="eastAsia" w:ascii="宋体" w:hAnsi="宋体" w:cs="Arial"/>
          <w:kern w:val="0"/>
          <w:sz w:val="22"/>
          <w:lang w:eastAsia="zh-CN"/>
        </w:rPr>
        <w:t>2019年11月28日9时00分</w:t>
      </w:r>
      <w:r>
        <w:rPr>
          <w:rFonts w:hint="eastAsia" w:ascii="宋体" w:hAnsi="宋体" w:cs="Arial"/>
          <w:kern w:val="0"/>
          <w:sz w:val="22"/>
        </w:rPr>
        <w:t>，投标文件在封口处加盖公章，派专人于</w:t>
      </w:r>
      <w:r>
        <w:rPr>
          <w:rFonts w:hint="eastAsia" w:ascii="宋体" w:hAnsi="宋体" w:cs="Arial"/>
          <w:kern w:val="0"/>
          <w:sz w:val="22"/>
          <w:lang w:eastAsia="zh-CN"/>
        </w:rPr>
        <w:t>2019年11月28日9时00分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lang w:eastAsia="zh-CN"/>
        </w:rPr>
        <w:t>2019年11月28日9时00分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联系电话：0571-</w:t>
      </w:r>
      <w:r>
        <w:rPr>
          <w:rFonts w:asciiTheme="minorEastAsia" w:hAnsiTheme="minorEastAsia"/>
          <w:sz w:val="22"/>
          <w:szCs w:val="22"/>
        </w:rPr>
        <w:t>83837612</w:t>
      </w:r>
    </w:p>
    <w:p>
      <w:pPr>
        <w:pStyle w:val="13"/>
        <w:ind w:firstLine="440" w:firstLineChars="200"/>
        <w:jc w:val="left"/>
        <w:rPr>
          <w:rFonts w:asciiTheme="minorEastAsia" w:hAnsiTheme="minorEastAsia" w:eastAsiaTheme="minorEastAsia" w:cstheme="minorBidi"/>
          <w:b w:val="0"/>
          <w:bCs w:val="0"/>
          <w:kern w:val="2"/>
          <w:sz w:val="22"/>
          <w:szCs w:val="22"/>
        </w:rPr>
      </w:pPr>
      <w:r>
        <w:rPr>
          <w:rFonts w:hint="eastAsia" w:asciiTheme="minorEastAsia" w:hAnsiTheme="minorEastAsia" w:eastAsiaTheme="minorEastAsia" w:cstheme="minorBidi"/>
          <w:b w:val="0"/>
          <w:bCs w:val="0"/>
          <w:kern w:val="2"/>
          <w:sz w:val="22"/>
          <w:szCs w:val="22"/>
        </w:rPr>
        <w:t>招标监督人：阮周长       联系电话：0571-86662133</w:t>
      </w:r>
    </w:p>
    <w:p>
      <w:pPr>
        <w:pStyle w:val="13"/>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3" w:name="_Toc321925452"/>
      <w:r>
        <w:t>第</w:t>
      </w:r>
      <w:r>
        <w:rPr>
          <w:rFonts w:hint="eastAsia"/>
        </w:rPr>
        <w:t>二</w:t>
      </w:r>
      <w:r>
        <w:t>章  投标</w:t>
      </w:r>
      <w:r>
        <w:rPr>
          <w:rFonts w:hint="eastAsia"/>
        </w:rPr>
        <w:t>人须知</w:t>
      </w:r>
      <w:bookmarkEnd w:id="3"/>
    </w:p>
    <w:p>
      <w:pPr>
        <w:pStyle w:val="6"/>
        <w:spacing w:line="240" w:lineRule="auto"/>
        <w:ind w:left="480"/>
        <w:jc w:val="center"/>
        <w:rPr>
          <w:b/>
          <w:sz w:val="28"/>
          <w:szCs w:val="28"/>
        </w:rPr>
      </w:pPr>
      <w:r>
        <w:rPr>
          <w:rFonts w:hint="eastAsia"/>
          <w:b/>
          <w:sz w:val="28"/>
          <w:szCs w:val="28"/>
        </w:rPr>
        <w:t>投标人须知前附表</w:t>
      </w:r>
    </w:p>
    <w:tbl>
      <w:tblPr>
        <w:tblStyle w:val="15"/>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hint="eastAsia" w:ascii="宋体" w:hAnsi="宋体" w:cs="Calibri"/>
                <w:kern w:val="0"/>
                <w:sz w:val="22"/>
              </w:rPr>
              <w:t>机员工集体宿舍防火门更换项目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9"/>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60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sz w:val="22"/>
              </w:rPr>
            </w:pPr>
            <w:r>
              <w:rPr>
                <w:rFonts w:hint="eastAsia" w:asciiTheme="minorEastAsia" w:hAnsiTheme="minorEastAsia"/>
                <w:iCs/>
                <w:sz w:val="22"/>
              </w:rPr>
              <w:t>符</w:t>
            </w:r>
            <w:r>
              <w:rPr>
                <w:rFonts w:hint="eastAsia" w:asciiTheme="minorEastAsia" w:hAnsiTheme="minorEastAsia"/>
                <w:sz w:val="22"/>
              </w:rPr>
              <w:t>合</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r>
              <w:rPr>
                <w:rFonts w:hint="eastAsia" w:ascii="宋体" w:hAnsi="宋体" w:cs="Calibri"/>
                <w:kern w:val="0"/>
                <w:sz w:val="22"/>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00A8"/>
            </w:r>
            <w:r>
              <w:rPr>
                <w:rFonts w:cs="Calibri" w:asciiTheme="minorEastAsia" w:hAnsiTheme="minorEastAsia"/>
                <w:kern w:val="0"/>
                <w:sz w:val="22"/>
              </w:rPr>
              <w:t>不组织</w:t>
            </w:r>
          </w:p>
          <w:p>
            <w:pPr>
              <w:autoSpaceDE w:val="0"/>
              <w:autoSpaceDN w:val="0"/>
              <w:adjustRightInd w:val="0"/>
              <w:snapToGrid w:val="0"/>
              <w:rPr>
                <w:rFonts w:hint="default" w:cs="Calibri" w:asciiTheme="minorEastAsia" w:hAnsiTheme="minorEastAsia" w:eastAsiaTheme="minorEastAsia"/>
                <w:kern w:val="0"/>
                <w:sz w:val="22"/>
                <w:lang w:val="en-US" w:eastAsia="zh-CN"/>
              </w:rPr>
            </w:pPr>
            <w:r>
              <w:rPr>
                <w:rFonts w:cs="Calibri" w:asciiTheme="minorEastAsia" w:hAnsiTheme="minorEastAsia"/>
                <w:kern w:val="0"/>
                <w:sz w:val="22"/>
              </w:rPr>
              <w:sym w:font="Wingdings 2" w:char="0052"/>
            </w:r>
            <w:r>
              <w:rPr>
                <w:rFonts w:cs="Calibri" w:asciiTheme="minorEastAsia" w:hAnsiTheme="minorEastAsia"/>
                <w:kern w:val="0"/>
                <w:sz w:val="22"/>
              </w:rPr>
              <w:t>组织，踏勘时间：</w:t>
            </w:r>
            <w:r>
              <w:rPr>
                <w:rFonts w:hint="eastAsia" w:cs="Calibri" w:asciiTheme="minorEastAsia" w:hAnsiTheme="minorEastAsia"/>
                <w:kern w:val="0"/>
                <w:sz w:val="22"/>
                <w:lang w:val="en-US" w:eastAsia="zh-CN"/>
              </w:rPr>
              <w:t>2019年11月21日9时00分</w:t>
            </w:r>
          </w:p>
          <w:p>
            <w:pPr>
              <w:autoSpaceDE w:val="0"/>
              <w:autoSpaceDN w:val="0"/>
              <w:adjustRightInd w:val="0"/>
              <w:snapToGrid w:val="0"/>
              <w:rPr>
                <w:rFonts w:hint="eastAsia" w:cs="Calibri" w:asciiTheme="minorEastAsia" w:hAnsiTheme="minorEastAsia" w:eastAsiaTheme="minorEastAsia"/>
                <w:kern w:val="0"/>
                <w:sz w:val="22"/>
                <w:lang w:eastAsia="zh-CN"/>
              </w:rPr>
            </w:pPr>
            <w:r>
              <w:rPr>
                <w:rFonts w:cs="Calibri" w:asciiTheme="minorEastAsia" w:hAnsiTheme="minorEastAsia"/>
                <w:kern w:val="0"/>
                <w:sz w:val="22"/>
              </w:rPr>
              <w:t xml:space="preserve">踏勘集中地点： </w:t>
            </w: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11</w:t>
            </w:r>
            <w:r>
              <w:rPr>
                <w:rFonts w:cs="Calibri" w:asciiTheme="minorEastAsia" w:hAnsiTheme="minorEastAsia"/>
                <w:kern w:val="0"/>
                <w:sz w:val="22"/>
              </w:rPr>
              <w:t>月</w:t>
            </w:r>
            <w:r>
              <w:rPr>
                <w:rFonts w:hint="eastAsia" w:cs="Calibri" w:asciiTheme="minorEastAsia" w:hAnsiTheme="minorEastAsia"/>
                <w:kern w:val="0"/>
                <w:sz w:val="22"/>
                <w:lang w:val="en-US" w:eastAsia="zh-CN"/>
              </w:rPr>
              <w:t>21</w:t>
            </w:r>
            <w:r>
              <w:rPr>
                <w:rFonts w:cs="Calibri" w:asciiTheme="minorEastAsia" w:hAnsiTheme="minorEastAsia"/>
                <w:kern w:val="0"/>
                <w:sz w:val="22"/>
              </w:rPr>
              <w:t>日11：30前，</w:t>
            </w:r>
            <w:r>
              <w:rPr>
                <w:rFonts w:hint="eastAsia" w:cs="Calibri" w:asciiTheme="minorEastAsia" w:hAnsiTheme="minorEastAsia"/>
                <w:kern w:val="0"/>
                <w:sz w:val="22"/>
              </w:rPr>
              <w:t>以书面加盖公章的形式通过E-mail或传真提交给招标人（投标联系人:贾思勰，电话0571-</w:t>
            </w:r>
            <w:r>
              <w:rPr>
                <w:rFonts w:cs="Calibri" w:asciiTheme="minorEastAsia" w:hAnsiTheme="minorEastAsia"/>
                <w:kern w:val="0"/>
                <w:sz w:val="22"/>
              </w:rPr>
              <w:t>83837612</w:t>
            </w:r>
            <w:r>
              <w:rPr>
                <w:rFonts w:hint="eastAsia" w:cs="Calibri" w:asciiTheme="minorEastAsia" w:hAnsiTheme="minorEastAsia"/>
                <w:kern w:val="0"/>
                <w:sz w:val="22"/>
              </w:rPr>
              <w:t>；传真：0571-</w:t>
            </w:r>
            <w:r>
              <w:rPr>
                <w:rFonts w:cs="Calibri" w:asciiTheme="minorEastAsia" w:hAnsiTheme="minorEastAsia"/>
                <w:kern w:val="0"/>
                <w:sz w:val="22"/>
              </w:rPr>
              <w:t>83837612</w:t>
            </w:r>
            <w:r>
              <w:rPr>
                <w:rFonts w:hint="eastAsia" w:cs="Calibri" w:asciiTheme="minorEastAsia" w:hAnsiTheme="minorEastAsia"/>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cs="Calibri" w:asciiTheme="minorEastAsia" w:hAnsiTheme="minorEastAsia" w:eastAsiaTheme="minorEastAsia"/>
                <w:b/>
                <w:kern w:val="0"/>
                <w:sz w:val="22"/>
                <w:lang w:eastAsia="zh-CN"/>
              </w:rPr>
            </w:pPr>
            <w:r>
              <w:rPr>
                <w:rFonts w:hint="eastAsia" w:cs="Calibri" w:asciiTheme="minorEastAsia" w:hAnsiTheme="minorEastAsia"/>
                <w:b/>
                <w:kern w:val="0"/>
                <w:sz w:val="22"/>
                <w:lang w:eastAsia="zh-CN"/>
              </w:rPr>
              <w:t>2019年11月28日9时00分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杭州萧山国际机场员工集体宿舍防火门更换项目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ascii="宋体" w:hAnsi="宋体" w:cs="Arial"/>
                <w:kern w:val="0"/>
                <w:sz w:val="22"/>
                <w:lang w:eastAsia="zh-CN"/>
              </w:rPr>
              <w:t>2019年11月28日9时00分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2"/>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2"/>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4"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4"/>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kern w:val="0"/>
          <w:sz w:val="22"/>
        </w:rPr>
      </w:pPr>
      <w:r>
        <w:rPr>
          <w:rFonts w:cs="Calibri" w:asciiTheme="minorEastAsia" w:hAnsiTheme="minorEastAsia"/>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1.1.2项目</w:t>
      </w:r>
      <w:r>
        <w:rPr>
          <w:rFonts w:hint="eastAsia" w:cs="Calibri" w:asciiTheme="minorEastAsia" w:hAnsiTheme="minorEastAsia"/>
          <w:kern w:val="0"/>
          <w:sz w:val="22"/>
        </w:rPr>
        <w:t>交货</w:t>
      </w:r>
      <w:r>
        <w:rPr>
          <w:rFonts w:cs="Calibri" w:asciiTheme="minorEastAsia" w:hAnsiTheme="minorEastAsia"/>
          <w:kern w:val="0"/>
          <w:sz w:val="22"/>
        </w:rPr>
        <w:t>地点见投标人须知前附表</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5"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5"/>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6"/>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1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sz w:val="22"/>
        </w:rPr>
      </w:pPr>
      <w:bookmarkStart w:id="11" w:name="_Toc13907"/>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.2 投标人踏勘现场发生的费用自理。</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2"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2"/>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3"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3"/>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本项目</w:t>
      </w:r>
      <w:r>
        <w:rPr>
          <w:rFonts w:hint="eastAsia" w:cs="Calibri" w:asciiTheme="minorEastAsia" w:hAnsiTheme="minorEastAsia"/>
          <w:sz w:val="22"/>
        </w:rPr>
        <w:t>涉及到其它专业的部分分项工作</w:t>
      </w:r>
      <w:r>
        <w:rPr>
          <w:rFonts w:cs="Calibri" w:asciiTheme="minorEastAsia" w:hAnsiTheme="minorEastAsia"/>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4"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4"/>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5" w:name="_Toc15241"/>
      <w:bookmarkStart w:id="16" w:name="_Toc143421657"/>
      <w:r>
        <w:rPr>
          <w:rFonts w:cs="Calibri" w:asciiTheme="minorEastAsia" w:hAnsiTheme="minorEastAsia"/>
          <w:b/>
          <w:bCs/>
          <w:kern w:val="0"/>
          <w:sz w:val="22"/>
        </w:rPr>
        <w:t>2.招标文件</w:t>
      </w:r>
      <w:bookmarkEnd w:id="15"/>
      <w:bookmarkEnd w:id="16"/>
    </w:p>
    <w:p>
      <w:pPr>
        <w:autoSpaceDE w:val="0"/>
        <w:autoSpaceDN w:val="0"/>
        <w:adjustRightInd w:val="0"/>
        <w:snapToGrid w:val="0"/>
        <w:spacing w:line="360" w:lineRule="exact"/>
        <w:rPr>
          <w:rFonts w:cs="Calibri" w:asciiTheme="minorEastAsia" w:hAnsiTheme="minorEastAsia"/>
          <w:b/>
          <w:bCs/>
          <w:kern w:val="0"/>
          <w:sz w:val="22"/>
        </w:rPr>
      </w:pPr>
      <w:bookmarkStart w:id="17" w:name="_Toc1426"/>
      <w:r>
        <w:rPr>
          <w:rFonts w:cs="Calibri" w:asciiTheme="minorEastAsia" w:hAnsiTheme="minorEastAsia"/>
          <w:b/>
          <w:bCs/>
          <w:kern w:val="0"/>
          <w:sz w:val="22"/>
        </w:rPr>
        <w:t>2.1 招标文件的组成</w:t>
      </w:r>
      <w:bookmarkEnd w:id="17"/>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8" w:name="_Toc18230"/>
      <w:r>
        <w:rPr>
          <w:rFonts w:cs="Calibri" w:asciiTheme="minorEastAsia" w:hAnsiTheme="minorEastAsia"/>
          <w:b/>
          <w:bCs/>
          <w:kern w:val="0"/>
          <w:sz w:val="22"/>
        </w:rPr>
        <w:t>2.2 招标文件的澄清</w:t>
      </w:r>
      <w:bookmarkEnd w:id="1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2.2.2</w:t>
      </w:r>
      <w:r>
        <w:rPr>
          <w:rFonts w:hint="eastAsia" w:ascii="Calibri" w:hAnsi="Calibri" w:cs="Calibri"/>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9" w:name="_Toc18303"/>
      <w:r>
        <w:rPr>
          <w:rFonts w:cs="Calibri" w:asciiTheme="minorEastAsia" w:hAnsiTheme="minorEastAsia"/>
          <w:b/>
          <w:bCs/>
          <w:kern w:val="0"/>
          <w:sz w:val="22"/>
        </w:rPr>
        <w:t>2.3 招标文件的修改</w:t>
      </w:r>
      <w:bookmarkEnd w:id="19"/>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20" w:name="_Toc143421658"/>
      <w:bookmarkStart w:id="21" w:name="_Toc18870"/>
      <w:r>
        <w:rPr>
          <w:rFonts w:ascii="宋体" w:hAnsi="宋体" w:cs="Calibri"/>
          <w:b/>
          <w:bCs/>
          <w:kern w:val="0"/>
          <w:sz w:val="22"/>
        </w:rPr>
        <w:t>3.投标文件</w:t>
      </w:r>
      <w:bookmarkEnd w:id="20"/>
      <w:bookmarkEnd w:id="21"/>
    </w:p>
    <w:p>
      <w:pPr>
        <w:autoSpaceDE w:val="0"/>
        <w:autoSpaceDN w:val="0"/>
        <w:adjustRightInd w:val="0"/>
        <w:snapToGrid w:val="0"/>
        <w:spacing w:line="360" w:lineRule="exact"/>
        <w:rPr>
          <w:rFonts w:ascii="宋体" w:hAnsi="宋体" w:cs="Calibri"/>
          <w:b/>
          <w:bCs/>
          <w:kern w:val="0"/>
          <w:sz w:val="22"/>
        </w:rPr>
      </w:pPr>
      <w:bookmarkStart w:id="22" w:name="_Toc461"/>
      <w:r>
        <w:rPr>
          <w:rFonts w:ascii="宋体" w:hAnsi="宋体" w:cs="Calibri"/>
          <w:b/>
          <w:bCs/>
          <w:kern w:val="0"/>
          <w:sz w:val="22"/>
        </w:rPr>
        <w:t>3.1 投标文件的语言和计量单位</w:t>
      </w:r>
      <w:bookmarkEnd w:id="22"/>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3" w:name="_Toc1411"/>
      <w:r>
        <w:rPr>
          <w:rFonts w:ascii="宋体" w:hAnsi="宋体" w:cs="Calibri"/>
          <w:b/>
          <w:bCs/>
          <w:kern w:val="0"/>
          <w:sz w:val="22"/>
        </w:rPr>
        <w:t>3.2 投标文件的组成</w:t>
      </w:r>
      <w:bookmarkEnd w:id="23"/>
    </w:p>
    <w:p>
      <w:pPr>
        <w:adjustRightInd w:val="0"/>
        <w:snapToGrid w:val="0"/>
        <w:spacing w:line="360" w:lineRule="exact"/>
        <w:ind w:firstLine="440"/>
        <w:rPr>
          <w:rFonts w:ascii="宋体" w:hAnsi="宋体" w:cs="Calibri"/>
          <w:sz w:val="22"/>
        </w:rPr>
      </w:pPr>
      <w:bookmarkStart w:id="24"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2</w:t>
      </w:r>
      <w:r>
        <w:rPr>
          <w:rFonts w:cs="Calibri" w:asciiTheme="minorEastAsia" w:hAnsiTheme="minorEastAsia"/>
          <w:sz w:val="22"/>
        </w:rPr>
        <w:t>法定代表人资格证明书；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3</w:t>
      </w:r>
      <w:r>
        <w:rPr>
          <w:rFonts w:cs="Calibri" w:asciiTheme="minorEastAsia" w:hAnsiTheme="minorEastAsia"/>
          <w:sz w:val="22"/>
        </w:rPr>
        <w:t>授权委托书；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4</w:t>
      </w:r>
      <w:r>
        <w:rPr>
          <w:rFonts w:cs="Calibri" w:asciiTheme="minorEastAsia" w:hAnsiTheme="minorEastAsia"/>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Calibri"/>
          <w:sz w:val="22"/>
        </w:rPr>
      </w:pPr>
      <w:r>
        <w:rPr>
          <w:rFonts w:hint="eastAsia" w:ascii="宋体" w:hAnsi="宋体" w:cs="Calibri"/>
          <w:sz w:val="22"/>
        </w:rPr>
        <w:t>（2）信用中国网站www.creditchina.gov.cn 、中国裁判文书网http://wenshu.court.gov.cn查询结果证材料以及主管税务部门出具的一般纳税人资格认定《税务事项通知书》。</w:t>
      </w:r>
    </w:p>
    <w:p>
      <w:pPr>
        <w:adjustRightInd w:val="0"/>
        <w:snapToGrid w:val="0"/>
        <w:spacing w:line="360" w:lineRule="exact"/>
        <w:ind w:firstLine="44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w:t>
      </w:r>
      <w:r>
        <w:rPr>
          <w:rFonts w:hint="eastAsia" w:ascii="宋体" w:hAnsi="宋体" w:cs="Calibri"/>
          <w:sz w:val="22"/>
          <w:szCs w:val="22"/>
        </w:rPr>
        <w:t>生产厂家</w:t>
      </w:r>
      <w:r>
        <w:rPr>
          <w:rFonts w:ascii="宋体" w:hAnsi="宋体" w:cs="Calibri"/>
          <w:sz w:val="22"/>
          <w:szCs w:val="22"/>
        </w:rPr>
        <w:t>的授权书</w:t>
      </w:r>
      <w:r>
        <w:rPr>
          <w:rFonts w:hint="eastAsia" w:ascii="宋体" w:hAnsi="宋体" w:cs="Calibri"/>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4"/>
    </w:p>
    <w:p>
      <w:pPr>
        <w:adjustRightInd w:val="0"/>
        <w:snapToGrid w:val="0"/>
        <w:spacing w:line="360" w:lineRule="exact"/>
        <w:ind w:firstLine="440"/>
        <w:rPr>
          <w:rFonts w:ascii="宋体" w:hAnsi="宋体" w:cs="Calibri"/>
          <w:sz w:val="22"/>
        </w:rPr>
      </w:pPr>
      <w:bookmarkStart w:id="25"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供货、运输（包括送至招标人指定地点卸车）、安装费、垃圾清运费、门洞修补费、保险费、税费、验收、技术培训及售后服务等）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5"/>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6" w:name="_Toc30464"/>
      <w:r>
        <w:rPr>
          <w:rFonts w:ascii="宋体" w:hAnsi="宋体" w:cs="Calibri"/>
          <w:b/>
          <w:bCs/>
          <w:kern w:val="0"/>
          <w:sz w:val="22"/>
        </w:rPr>
        <w:t>3.5 投标保证金</w:t>
      </w:r>
      <w:bookmarkEnd w:id="26"/>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kern w:val="0"/>
          <w:sz w:val="22"/>
        </w:rPr>
        <w:t>中标人在收到中标通知书后，</w:t>
      </w:r>
      <w:r>
        <w:rPr>
          <w:rFonts w:cs="Calibri" w:asciiTheme="minorEastAsia" w:hAnsiTheme="minorEastAsia"/>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7" w:name="_Toc29989"/>
      <w:r>
        <w:rPr>
          <w:rFonts w:ascii="宋体" w:hAnsi="宋体" w:cs="Calibri"/>
          <w:b/>
          <w:bCs/>
          <w:kern w:val="0"/>
          <w:sz w:val="22"/>
        </w:rPr>
        <w:t>3.6 投标文件的编制</w:t>
      </w:r>
      <w:bookmarkEnd w:id="27"/>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8" w:name="_Toc143421659"/>
    </w:p>
    <w:p>
      <w:pPr>
        <w:autoSpaceDE w:val="0"/>
        <w:autoSpaceDN w:val="0"/>
        <w:adjustRightInd w:val="0"/>
        <w:snapToGrid w:val="0"/>
        <w:spacing w:line="360" w:lineRule="exact"/>
        <w:rPr>
          <w:rFonts w:ascii="宋体" w:hAnsi="宋体" w:cs="Calibri"/>
          <w:b/>
          <w:bCs/>
          <w:kern w:val="0"/>
          <w:sz w:val="22"/>
        </w:rPr>
      </w:pPr>
      <w:bookmarkStart w:id="29" w:name="_Toc32652"/>
      <w:r>
        <w:rPr>
          <w:rFonts w:ascii="宋体" w:hAnsi="宋体" w:cs="Calibri"/>
          <w:b/>
          <w:bCs/>
          <w:kern w:val="0"/>
          <w:sz w:val="22"/>
        </w:rPr>
        <w:t>4.投标</w:t>
      </w:r>
      <w:bookmarkEnd w:id="28"/>
      <w:bookmarkEnd w:id="29"/>
    </w:p>
    <w:p>
      <w:pPr>
        <w:autoSpaceDE w:val="0"/>
        <w:autoSpaceDN w:val="0"/>
        <w:adjustRightInd w:val="0"/>
        <w:snapToGrid w:val="0"/>
        <w:spacing w:line="360" w:lineRule="exact"/>
        <w:rPr>
          <w:rFonts w:ascii="宋体" w:hAnsi="宋体" w:cs="Calibri"/>
          <w:b/>
          <w:bCs/>
          <w:kern w:val="0"/>
          <w:sz w:val="22"/>
        </w:rPr>
      </w:pPr>
      <w:bookmarkStart w:id="30" w:name="_Toc649"/>
      <w:r>
        <w:rPr>
          <w:rFonts w:ascii="宋体" w:hAnsi="宋体" w:cs="Calibri"/>
          <w:b/>
          <w:bCs/>
          <w:kern w:val="0"/>
          <w:sz w:val="22"/>
        </w:rPr>
        <w:t>4.1 投标文件的密封和标识</w:t>
      </w:r>
      <w:bookmarkEnd w:id="30"/>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1" w:name="_Toc16616"/>
      <w:r>
        <w:rPr>
          <w:rFonts w:ascii="宋体" w:hAnsi="宋体" w:cs="Calibri"/>
          <w:b/>
          <w:bCs/>
          <w:kern w:val="0"/>
          <w:sz w:val="22"/>
        </w:rPr>
        <w:t xml:space="preserve">4.2 投标文件的递交 </w:t>
      </w:r>
      <w:bookmarkEnd w:id="31"/>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2" w:name="_Toc26099"/>
      <w:r>
        <w:rPr>
          <w:rFonts w:ascii="宋体" w:hAnsi="宋体" w:cs="Calibri"/>
          <w:b/>
          <w:bCs/>
          <w:kern w:val="0"/>
          <w:sz w:val="22"/>
        </w:rPr>
        <w:t>4.3 投标文件的修改和撤回</w:t>
      </w:r>
      <w:bookmarkEnd w:id="32"/>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3" w:name="_Toc29641"/>
      <w:r>
        <w:rPr>
          <w:rFonts w:ascii="宋体" w:hAnsi="宋体" w:cs="Calibri"/>
          <w:b/>
          <w:bCs/>
          <w:kern w:val="0"/>
          <w:sz w:val="22"/>
        </w:rPr>
        <w:t>5.开标</w:t>
      </w:r>
      <w:bookmarkEnd w:id="33"/>
    </w:p>
    <w:p>
      <w:pPr>
        <w:autoSpaceDE w:val="0"/>
        <w:autoSpaceDN w:val="0"/>
        <w:adjustRightInd w:val="0"/>
        <w:snapToGrid w:val="0"/>
        <w:spacing w:line="360" w:lineRule="exact"/>
        <w:rPr>
          <w:rFonts w:ascii="宋体" w:hAnsi="宋体" w:cs="Calibri"/>
          <w:b/>
          <w:bCs/>
          <w:kern w:val="0"/>
          <w:sz w:val="22"/>
        </w:rPr>
      </w:pPr>
      <w:bookmarkStart w:id="34" w:name="_Toc15123"/>
      <w:r>
        <w:rPr>
          <w:rFonts w:ascii="宋体" w:hAnsi="宋体" w:cs="Calibri"/>
          <w:b/>
          <w:bCs/>
          <w:kern w:val="0"/>
          <w:sz w:val="22"/>
        </w:rPr>
        <w:t>5.1 开标时间和地点</w:t>
      </w:r>
      <w:bookmarkEnd w:id="34"/>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5" w:name="_Toc7101"/>
      <w:r>
        <w:rPr>
          <w:rFonts w:ascii="宋体" w:hAnsi="宋体" w:cs="Calibri"/>
          <w:b/>
          <w:bCs/>
          <w:kern w:val="0"/>
          <w:sz w:val="22"/>
        </w:rPr>
        <w:t>5.2 开标程序</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6" w:name="_Toc31578"/>
      <w:r>
        <w:rPr>
          <w:rFonts w:ascii="宋体" w:hAnsi="宋体" w:cs="Calibri"/>
          <w:b/>
          <w:bCs/>
          <w:kern w:val="0"/>
          <w:sz w:val="22"/>
        </w:rPr>
        <w:t>6.评标</w:t>
      </w:r>
      <w:bookmarkEnd w:id="36"/>
    </w:p>
    <w:p>
      <w:pPr>
        <w:autoSpaceDE w:val="0"/>
        <w:autoSpaceDN w:val="0"/>
        <w:adjustRightInd w:val="0"/>
        <w:snapToGrid w:val="0"/>
        <w:spacing w:line="360" w:lineRule="exact"/>
        <w:rPr>
          <w:rFonts w:ascii="宋体" w:hAnsi="宋体" w:cs="Calibri"/>
          <w:b/>
          <w:bCs/>
          <w:kern w:val="0"/>
          <w:sz w:val="22"/>
        </w:rPr>
      </w:pPr>
      <w:bookmarkStart w:id="37" w:name="_Toc10279"/>
      <w:r>
        <w:rPr>
          <w:rFonts w:ascii="宋体" w:hAnsi="宋体" w:cs="Calibri"/>
          <w:b/>
          <w:bCs/>
          <w:kern w:val="0"/>
          <w:sz w:val="22"/>
        </w:rPr>
        <w:t>6.1 评标委员会</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8" w:name="_Toc3460"/>
      <w:r>
        <w:rPr>
          <w:rFonts w:ascii="宋体" w:hAnsi="宋体" w:cs="Calibri"/>
          <w:b/>
          <w:bCs/>
          <w:kern w:val="0"/>
          <w:sz w:val="22"/>
        </w:rPr>
        <w:t>6.2 评标原则</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9" w:name="_Toc28178"/>
      <w:r>
        <w:rPr>
          <w:rFonts w:ascii="宋体" w:hAnsi="宋体" w:cs="Calibri"/>
          <w:b/>
          <w:bCs/>
          <w:kern w:val="0"/>
          <w:sz w:val="22"/>
        </w:rPr>
        <w:t>6.3 评标</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0" w:name="_Toc24237"/>
      <w:r>
        <w:rPr>
          <w:rFonts w:ascii="宋体" w:hAnsi="宋体" w:cs="Calibri"/>
          <w:b/>
          <w:bCs/>
          <w:kern w:val="0"/>
          <w:sz w:val="22"/>
        </w:rPr>
        <w:t>7.合同授予</w:t>
      </w:r>
      <w:bookmarkEnd w:id="40"/>
    </w:p>
    <w:p>
      <w:pPr>
        <w:autoSpaceDE w:val="0"/>
        <w:autoSpaceDN w:val="0"/>
        <w:adjustRightInd w:val="0"/>
        <w:snapToGrid w:val="0"/>
        <w:spacing w:line="360" w:lineRule="exact"/>
        <w:rPr>
          <w:rFonts w:ascii="宋体" w:hAnsi="宋体" w:cs="Calibri"/>
          <w:b/>
          <w:bCs/>
          <w:kern w:val="0"/>
          <w:sz w:val="22"/>
        </w:rPr>
      </w:pPr>
      <w:bookmarkStart w:id="41" w:name="_Toc18809"/>
      <w:r>
        <w:rPr>
          <w:rFonts w:ascii="宋体" w:hAnsi="宋体" w:cs="Calibri"/>
          <w:b/>
          <w:bCs/>
          <w:kern w:val="0"/>
          <w:sz w:val="22"/>
        </w:rPr>
        <w:t>7.1 定标方式</w:t>
      </w:r>
      <w:bookmarkEnd w:id="41"/>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2" w:name="_Toc14573"/>
      <w:r>
        <w:rPr>
          <w:rFonts w:ascii="宋体" w:hAnsi="宋体" w:cs="Calibri"/>
          <w:b/>
          <w:bCs/>
          <w:kern w:val="0"/>
          <w:sz w:val="22"/>
        </w:rPr>
        <w:t>7.2 中标通知</w:t>
      </w:r>
      <w:bookmarkEnd w:id="42"/>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3" w:name="_Toc27132"/>
      <w:r>
        <w:rPr>
          <w:rFonts w:ascii="宋体" w:hAnsi="宋体" w:cs="Calibri"/>
          <w:b/>
          <w:bCs/>
          <w:kern w:val="0"/>
          <w:sz w:val="22"/>
        </w:rPr>
        <w:t>7.3 履约</w:t>
      </w:r>
      <w:r>
        <w:rPr>
          <w:rFonts w:hint="eastAsia" w:ascii="宋体" w:hAnsi="宋体" w:cs="Calibri"/>
          <w:b/>
          <w:bCs/>
          <w:kern w:val="0"/>
          <w:sz w:val="22"/>
        </w:rPr>
        <w:t>保证金</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4" w:name="_Toc27581"/>
      <w:r>
        <w:rPr>
          <w:rFonts w:ascii="宋体" w:hAnsi="宋体" w:cs="Calibri"/>
          <w:b/>
          <w:bCs/>
          <w:kern w:val="0"/>
          <w:sz w:val="22"/>
        </w:rPr>
        <w:t>7.4 签订合同</w:t>
      </w:r>
      <w:bookmarkEnd w:id="44"/>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5" w:name="_Toc11806"/>
      <w:bookmarkStart w:id="46" w:name="_Toc219809801"/>
      <w:bookmarkStart w:id="47"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kern w:val="0"/>
          <w:sz w:val="22"/>
        </w:rPr>
      </w:pPr>
      <w:r>
        <w:rPr>
          <w:rFonts w:hint="eastAsia" w:cs="Calibri" w:asciiTheme="minorEastAsia" w:hAnsiTheme="minorEastAsia"/>
          <w:kern w:val="0"/>
          <w:sz w:val="22"/>
        </w:rPr>
        <w:t xml:space="preserve">7.4.3 </w:t>
      </w:r>
      <w:r>
        <w:rPr>
          <w:rFonts w:hint="eastAsia" w:cs="Calibri" w:asciiTheme="minorEastAsia" w:hAnsiTheme="minorEastAsia"/>
          <w:b/>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kern w:val="0"/>
          <w:sz w:val="22"/>
        </w:rPr>
        <w:t xml:space="preserve">7.4.4 </w:t>
      </w:r>
      <w:r>
        <w:rPr>
          <w:rFonts w:hint="eastAsia" w:cs="Calibri" w:asciiTheme="minorEastAsia" w:hAnsiTheme="minorEastAsia"/>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5"/>
      <w:bookmarkEnd w:id="46"/>
      <w:bookmarkEnd w:id="47"/>
    </w:p>
    <w:p>
      <w:pPr>
        <w:autoSpaceDE w:val="0"/>
        <w:autoSpaceDN w:val="0"/>
        <w:adjustRightInd w:val="0"/>
        <w:snapToGrid w:val="0"/>
        <w:spacing w:line="360" w:lineRule="exact"/>
        <w:rPr>
          <w:rFonts w:ascii="宋体" w:hAnsi="宋体" w:cs="Calibri"/>
          <w:b/>
          <w:bCs/>
          <w:kern w:val="0"/>
          <w:sz w:val="22"/>
        </w:rPr>
      </w:pPr>
      <w:bookmarkStart w:id="48" w:name="_Toc219809802"/>
      <w:bookmarkStart w:id="49" w:name="_Toc220123242"/>
      <w:bookmarkStart w:id="50" w:name="_Toc15553"/>
      <w:r>
        <w:rPr>
          <w:rFonts w:ascii="宋体" w:hAnsi="宋体" w:cs="Calibri"/>
          <w:b/>
          <w:bCs/>
          <w:kern w:val="0"/>
          <w:sz w:val="22"/>
        </w:rPr>
        <w:t>8.1 重新招标</w:t>
      </w:r>
      <w:bookmarkEnd w:id="48"/>
      <w:bookmarkEnd w:id="49"/>
      <w:bookmarkEnd w:id="50"/>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1" w:name="_Toc219809803"/>
      <w:bookmarkStart w:id="52" w:name="_Toc220123243"/>
      <w:bookmarkStart w:id="53" w:name="_Toc18806"/>
      <w:r>
        <w:rPr>
          <w:rFonts w:ascii="宋体" w:hAnsi="宋体" w:cs="Calibri"/>
          <w:b/>
          <w:bCs/>
          <w:kern w:val="0"/>
          <w:sz w:val="22"/>
        </w:rPr>
        <w:t>8.2 不再招标</w:t>
      </w:r>
      <w:bookmarkEnd w:id="51"/>
      <w:bookmarkEnd w:id="52"/>
      <w:bookmarkEnd w:id="53"/>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4" w:name="_Toc2986"/>
      <w:bookmarkStart w:id="55" w:name="_Toc219809804"/>
      <w:bookmarkStart w:id="56" w:name="_Toc215941254"/>
      <w:bookmarkStart w:id="57" w:name="_Toc220123244"/>
      <w:r>
        <w:rPr>
          <w:rFonts w:ascii="宋体" w:hAnsi="宋体" w:cs="Calibri"/>
          <w:b/>
          <w:bCs/>
          <w:kern w:val="0"/>
          <w:sz w:val="22"/>
        </w:rPr>
        <w:t>9.纪律和监督</w:t>
      </w:r>
      <w:bookmarkEnd w:id="54"/>
      <w:bookmarkEnd w:id="55"/>
      <w:bookmarkEnd w:id="56"/>
      <w:bookmarkEnd w:id="57"/>
    </w:p>
    <w:p>
      <w:pPr>
        <w:autoSpaceDE w:val="0"/>
        <w:autoSpaceDN w:val="0"/>
        <w:adjustRightInd w:val="0"/>
        <w:snapToGrid w:val="0"/>
        <w:spacing w:line="360" w:lineRule="exact"/>
        <w:rPr>
          <w:rFonts w:ascii="宋体" w:hAnsi="宋体" w:cs="Calibri"/>
          <w:b/>
          <w:bCs/>
          <w:kern w:val="0"/>
          <w:sz w:val="22"/>
        </w:rPr>
      </w:pPr>
      <w:bookmarkStart w:id="58" w:name="_Toc220123245"/>
      <w:bookmarkStart w:id="59" w:name="_Toc5509"/>
      <w:bookmarkStart w:id="60" w:name="_Toc219809805"/>
      <w:r>
        <w:rPr>
          <w:rFonts w:ascii="宋体" w:hAnsi="宋体" w:cs="Calibri"/>
          <w:b/>
          <w:bCs/>
          <w:kern w:val="0"/>
          <w:sz w:val="22"/>
        </w:rPr>
        <w:t>9.1 对招标人的纪律要求</w:t>
      </w:r>
      <w:bookmarkEnd w:id="58"/>
      <w:bookmarkEnd w:id="59"/>
      <w:bookmarkEnd w:id="6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1" w:name="_Toc10820"/>
      <w:bookmarkStart w:id="62" w:name="_Toc219809806"/>
      <w:bookmarkStart w:id="63" w:name="_Toc220123246"/>
      <w:r>
        <w:rPr>
          <w:rFonts w:ascii="宋体" w:hAnsi="宋体" w:cs="Calibri"/>
          <w:b/>
          <w:bCs/>
          <w:kern w:val="0"/>
          <w:sz w:val="22"/>
        </w:rPr>
        <w:t>9.2 对投标人的纪律要求</w:t>
      </w:r>
      <w:bookmarkEnd w:id="61"/>
      <w:bookmarkEnd w:id="62"/>
      <w:bookmarkEnd w:id="63"/>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sz w:val="22"/>
        </w:rPr>
      </w:pPr>
      <w:r>
        <w:rPr>
          <w:rFonts w:hint="eastAsia" w:cs="Calibri" w:asciiTheme="minorEastAsia" w:hAnsiTheme="minorEastAsia"/>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4" w:name="_Toc10756"/>
      <w:bookmarkStart w:id="65" w:name="_Toc220123247"/>
      <w:bookmarkStart w:id="66" w:name="_Toc219809807"/>
      <w:r>
        <w:rPr>
          <w:rFonts w:ascii="宋体" w:hAnsi="宋体" w:cs="Calibri"/>
          <w:b/>
          <w:bCs/>
          <w:kern w:val="0"/>
          <w:sz w:val="22"/>
        </w:rPr>
        <w:t>9.3 对评标委员会成员的纪律要求</w:t>
      </w:r>
      <w:bookmarkEnd w:id="64"/>
      <w:bookmarkEnd w:id="65"/>
      <w:bookmarkEnd w:id="6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sz w:val="22"/>
        </w:rPr>
        <w:t>五</w:t>
      </w:r>
      <w:r>
        <w:rPr>
          <w:rFonts w:cs="Calibri" w:asciiTheme="minorEastAsia" w:hAnsiTheme="minorEastAsia"/>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7" w:name="_Toc12792"/>
      <w:bookmarkStart w:id="68" w:name="_Toc219809808"/>
      <w:bookmarkStart w:id="69" w:name="_Toc220123248"/>
      <w:r>
        <w:rPr>
          <w:rFonts w:ascii="宋体" w:hAnsi="宋体" w:cs="Calibri"/>
          <w:b/>
          <w:bCs/>
          <w:kern w:val="0"/>
          <w:sz w:val="22"/>
        </w:rPr>
        <w:t>9.4 对评标活动有关的工作人员的纪律要求</w:t>
      </w:r>
      <w:bookmarkEnd w:id="67"/>
      <w:bookmarkEnd w:id="68"/>
      <w:bookmarkEnd w:id="6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0" w:name="_Toc219809809"/>
      <w:bookmarkStart w:id="71" w:name="_Toc239"/>
      <w:bookmarkStart w:id="72" w:name="_Toc220123249"/>
      <w:r>
        <w:rPr>
          <w:rFonts w:ascii="宋体" w:hAnsi="宋体" w:cs="Calibri"/>
          <w:b/>
          <w:bCs/>
          <w:kern w:val="0"/>
          <w:sz w:val="22"/>
        </w:rPr>
        <w:t>9.5 投诉</w:t>
      </w:r>
      <w:bookmarkEnd w:id="70"/>
      <w:bookmarkEnd w:id="71"/>
      <w:bookmarkEnd w:id="72"/>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3" w:name="_Toc10817"/>
      <w:r>
        <w:rPr>
          <w:rFonts w:ascii="宋体" w:hAnsi="宋体" w:cs="Calibri"/>
          <w:b/>
          <w:bCs/>
          <w:kern w:val="0"/>
          <w:sz w:val="22"/>
        </w:rPr>
        <w:t>10. 需要补充的其他内容</w:t>
      </w:r>
      <w:bookmarkEnd w:id="73"/>
    </w:p>
    <w:p>
      <w:pPr>
        <w:autoSpaceDE w:val="0"/>
        <w:autoSpaceDN w:val="0"/>
        <w:adjustRightInd w:val="0"/>
        <w:snapToGrid w:val="0"/>
        <w:spacing w:line="360" w:lineRule="exact"/>
        <w:ind w:firstLine="440"/>
        <w:jc w:val="left"/>
        <w:rPr>
          <w:rFonts w:cs="Calibri" w:asciiTheme="minorEastAsia" w:hAnsiTheme="minorEastAsia"/>
          <w:sz w:val="22"/>
        </w:rPr>
      </w:pPr>
      <w:r>
        <w:rPr>
          <w:rFonts w:cs="Calibri" w:asciiTheme="minorEastAsia" w:hAnsiTheme="minorEastAsia"/>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13"/>
      </w:pPr>
      <w:r>
        <w:rPr>
          <w:sz w:val="24"/>
        </w:rPr>
        <w:br w:type="page"/>
      </w:r>
      <w:bookmarkStart w:id="74" w:name="_Toc321925453"/>
      <w:r>
        <w:t>第</w:t>
      </w:r>
      <w:r>
        <w:rPr>
          <w:rFonts w:hint="eastAsia"/>
        </w:rPr>
        <w:t>三</w:t>
      </w:r>
      <w:r>
        <w:t>章  货物需求一览表及技术规格</w:t>
      </w:r>
      <w:bookmarkEnd w:id="74"/>
    </w:p>
    <w:p>
      <w:pPr>
        <w:widowControl/>
        <w:jc w:val="left"/>
        <w:rPr>
          <w:sz w:val="22"/>
          <w:szCs w:val="22"/>
        </w:rPr>
      </w:pPr>
      <w:r>
        <w:rPr>
          <w:rFonts w:hint="eastAsia"/>
          <w:sz w:val="22"/>
          <w:szCs w:val="22"/>
        </w:rPr>
        <w:t>一、产品及规格</w:t>
      </w:r>
    </w:p>
    <w:tbl>
      <w:tblPr>
        <w:tblStyle w:val="15"/>
        <w:tblpPr w:leftFromText="180" w:rightFromText="180" w:vertAnchor="text" w:horzAnchor="page" w:tblpX="1487" w:tblpY="363"/>
        <w:tblOverlap w:val="never"/>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808"/>
        <w:gridCol w:w="2826"/>
        <w:gridCol w:w="1397"/>
        <w:gridCol w:w="3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7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80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r>
              <w:rPr>
                <w:rFonts w:hint="eastAsia" w:asciiTheme="minorEastAsia" w:hAnsiTheme="minorEastAsia"/>
                <w:caps/>
                <w:sz w:val="22"/>
                <w:szCs w:val="22"/>
              </w:rPr>
              <w:t>/樘</w:t>
            </w:r>
          </w:p>
        </w:tc>
        <w:tc>
          <w:tcPr>
            <w:tcW w:w="2826"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1397"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3534"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1170"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防火门（含五金配件）</w:t>
            </w:r>
          </w:p>
        </w:tc>
        <w:tc>
          <w:tcPr>
            <w:tcW w:w="808"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56</w:t>
            </w:r>
          </w:p>
        </w:tc>
        <w:tc>
          <w:tcPr>
            <w:tcW w:w="2826" w:type="dxa"/>
            <w:vAlign w:val="center"/>
          </w:tcPr>
          <w:p>
            <w:pPr>
              <w:pStyle w:val="3"/>
              <w:snapToGrid w:val="0"/>
              <w:rPr>
                <w:rFonts w:asciiTheme="minorEastAsia" w:hAnsiTheme="minorEastAsia"/>
                <w:sz w:val="22"/>
                <w:szCs w:val="22"/>
              </w:rPr>
            </w:pPr>
            <w:r>
              <w:rPr>
                <w:rFonts w:hint="eastAsia" w:asciiTheme="minorEastAsia" w:hAnsiTheme="minorEastAsia"/>
                <w:sz w:val="22"/>
                <w:szCs w:val="22"/>
              </w:rPr>
              <w:t>甲级钢制防火门（带亮子），</w:t>
            </w:r>
          </w:p>
          <w:p>
            <w:pPr>
              <w:pStyle w:val="3"/>
              <w:snapToGrid w:val="0"/>
              <w:rPr>
                <w:rFonts w:asciiTheme="minorEastAsia" w:hAnsiTheme="minorEastAsia"/>
                <w:sz w:val="22"/>
                <w:szCs w:val="22"/>
              </w:rPr>
            </w:pPr>
            <w:r>
              <w:rPr>
                <w:rFonts w:hint="eastAsia" w:asciiTheme="minorEastAsia" w:hAnsiTheme="minorEastAsia"/>
                <w:sz w:val="22"/>
                <w:szCs w:val="22"/>
              </w:rPr>
              <w:t>耐火性能≥1.5h，</w:t>
            </w:r>
          </w:p>
          <w:p>
            <w:pPr>
              <w:pStyle w:val="3"/>
              <w:snapToGrid w:val="0"/>
              <w:rPr>
                <w:rFonts w:asciiTheme="minorEastAsia" w:hAnsiTheme="minorEastAsia"/>
                <w:sz w:val="22"/>
                <w:szCs w:val="22"/>
              </w:rPr>
            </w:pPr>
            <w:r>
              <w:rPr>
                <w:rFonts w:hint="eastAsia" w:asciiTheme="minorEastAsia" w:hAnsiTheme="minorEastAsia"/>
                <w:sz w:val="22"/>
                <w:szCs w:val="22"/>
              </w:rPr>
              <w:t>防火门总面积约209.5㎡</w:t>
            </w:r>
          </w:p>
        </w:tc>
        <w:tc>
          <w:tcPr>
            <w:tcW w:w="1397"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60</w:t>
            </w:r>
            <w:r>
              <w:rPr>
                <w:rFonts w:hint="eastAsia" w:asciiTheme="minorEastAsia" w:hAnsiTheme="minorEastAsia"/>
                <w:sz w:val="22"/>
                <w:szCs w:val="22"/>
              </w:rPr>
              <w:t>日历天</w:t>
            </w:r>
          </w:p>
        </w:tc>
        <w:tc>
          <w:tcPr>
            <w:tcW w:w="3534" w:type="dxa"/>
            <w:vAlign w:val="center"/>
          </w:tcPr>
          <w:p>
            <w:pPr>
              <w:adjustRightInd w:val="0"/>
              <w:snapToGrid w:val="0"/>
              <w:jc w:val="left"/>
              <w:rPr>
                <w:rFonts w:cs="Arial" w:asciiTheme="minorEastAsia" w:hAnsiTheme="minorEastAsia"/>
                <w:kern w:val="0"/>
                <w:sz w:val="22"/>
                <w:szCs w:val="22"/>
              </w:rPr>
            </w:pPr>
            <w:r>
              <w:rPr>
                <w:rFonts w:hint="eastAsia" w:cs="Arial" w:asciiTheme="minorEastAsia" w:hAnsiTheme="minorEastAsia"/>
                <w:kern w:val="0"/>
                <w:sz w:val="22"/>
                <w:szCs w:val="22"/>
              </w:rPr>
              <w:t>1、送货至机场员工集体宿舍并负责安装。</w:t>
            </w:r>
          </w:p>
          <w:p>
            <w:pPr>
              <w:adjustRightInd w:val="0"/>
              <w:snapToGrid w:val="0"/>
              <w:jc w:val="left"/>
              <w:rPr>
                <w:rFonts w:asciiTheme="minorEastAsia" w:hAnsiTheme="minorEastAsia"/>
                <w:sz w:val="22"/>
                <w:szCs w:val="22"/>
              </w:rPr>
            </w:pPr>
            <w:r>
              <w:rPr>
                <w:rFonts w:hint="eastAsia" w:cs="Arial" w:asciiTheme="minorEastAsia" w:hAnsiTheme="minorEastAsia"/>
                <w:kern w:val="0"/>
                <w:sz w:val="22"/>
                <w:szCs w:val="22"/>
              </w:rPr>
              <w:t>2、原防火门拆除、外运及垃圾清理。</w:t>
            </w:r>
          </w:p>
          <w:p>
            <w:pPr>
              <w:adjustRightInd w:val="0"/>
              <w:snapToGrid w:val="0"/>
              <w:jc w:val="left"/>
              <w:rPr>
                <w:rFonts w:cs="Arial" w:asciiTheme="minorEastAsia" w:hAnsiTheme="minorEastAsia"/>
                <w:kern w:val="0"/>
                <w:sz w:val="22"/>
                <w:szCs w:val="22"/>
              </w:rPr>
            </w:pPr>
            <w:r>
              <w:rPr>
                <w:rFonts w:hint="eastAsia" w:cs="Arial" w:asciiTheme="minorEastAsia" w:hAnsiTheme="minorEastAsia"/>
                <w:kern w:val="0"/>
                <w:sz w:val="22"/>
                <w:szCs w:val="22"/>
              </w:rPr>
              <w:t>3、原防火门拆除后门洞（含相连墙体、瓷砖及踢脚线）修补还原。</w:t>
            </w:r>
          </w:p>
        </w:tc>
      </w:tr>
    </w:tbl>
    <w:p>
      <w:pPr>
        <w:widowControl/>
        <w:jc w:val="center"/>
        <w:rPr>
          <w:rFonts w:ascii="Cambria" w:hAnsi="Cambria" w:eastAsia="黑体" w:cs="Times New Roman"/>
          <w:b/>
          <w:bCs/>
          <w:kern w:val="0"/>
          <w:sz w:val="22"/>
          <w:szCs w:val="22"/>
        </w:rPr>
      </w:pPr>
    </w:p>
    <w:p>
      <w:pPr>
        <w:adjustRightInd w:val="0"/>
        <w:snapToGrid w:val="0"/>
        <w:spacing w:line="360" w:lineRule="exact"/>
        <w:ind w:firstLine="440"/>
        <w:rPr>
          <w:rFonts w:cs="Calibri" w:asciiTheme="minorEastAsia" w:hAnsiTheme="minorEastAsia"/>
          <w:sz w:val="22"/>
          <w:szCs w:val="22"/>
        </w:rPr>
      </w:pPr>
      <w:bookmarkStart w:id="75" w:name="_Toc321925454"/>
    </w:p>
    <w:p>
      <w:pPr>
        <w:adjustRightInd w:val="0"/>
        <w:snapToGrid w:val="0"/>
        <w:spacing w:line="360" w:lineRule="exact"/>
        <w:rPr>
          <w:rFonts w:cs="Calibri" w:asciiTheme="minorEastAsia" w:hAnsiTheme="minorEastAsia"/>
          <w:sz w:val="22"/>
          <w:szCs w:val="22"/>
        </w:rPr>
      </w:pPr>
    </w:p>
    <w:tbl>
      <w:tblPr>
        <w:tblStyle w:val="15"/>
        <w:tblpPr w:leftFromText="180" w:rightFromText="180" w:vertAnchor="text" w:horzAnchor="page" w:tblpX="1393" w:tblpY="59"/>
        <w:tblOverlap w:val="never"/>
        <w:tblW w:w="9737" w:type="dxa"/>
        <w:tblInd w:w="0" w:type="dxa"/>
        <w:tblLayout w:type="fixed"/>
        <w:tblCellMar>
          <w:top w:w="15" w:type="dxa"/>
          <w:left w:w="15" w:type="dxa"/>
          <w:bottom w:w="15" w:type="dxa"/>
          <w:right w:w="15" w:type="dxa"/>
        </w:tblCellMar>
      </w:tblPr>
      <w:tblGrid>
        <w:gridCol w:w="653"/>
        <w:gridCol w:w="1080"/>
        <w:gridCol w:w="924"/>
        <w:gridCol w:w="1514"/>
        <w:gridCol w:w="954"/>
        <w:gridCol w:w="1302"/>
        <w:gridCol w:w="841"/>
        <w:gridCol w:w="796"/>
        <w:gridCol w:w="830"/>
        <w:gridCol w:w="843"/>
      </w:tblGrid>
      <w:tr>
        <w:tblPrEx>
          <w:tblCellMar>
            <w:top w:w="15" w:type="dxa"/>
            <w:left w:w="15" w:type="dxa"/>
            <w:bottom w:w="15" w:type="dxa"/>
            <w:right w:w="15" w:type="dxa"/>
          </w:tblCellMar>
        </w:tblPrEx>
        <w:trPr>
          <w:trHeight w:val="564" w:hRule="atLeast"/>
        </w:trPr>
        <w:tc>
          <w:tcPr>
            <w:tcW w:w="9737" w:type="dxa"/>
            <w:gridSpan w:val="10"/>
            <w:tcBorders>
              <w:lef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r>
              <w:rPr>
                <w:rFonts w:hint="eastAsia" w:cs="Calibri" w:asciiTheme="minorEastAsia" w:hAnsiTheme="minorEastAsia"/>
                <w:sz w:val="22"/>
                <w:szCs w:val="22"/>
              </w:rPr>
              <w:t>杭州萧山国际机场员工集体宿舍防火门详细参数</w:t>
            </w:r>
          </w:p>
        </w:tc>
      </w:tr>
      <w:tr>
        <w:tblPrEx>
          <w:tblCellMar>
            <w:top w:w="15" w:type="dxa"/>
            <w:left w:w="15" w:type="dxa"/>
            <w:bottom w:w="15" w:type="dxa"/>
            <w:right w:w="15" w:type="dxa"/>
          </w:tblCellMar>
        </w:tblPrEx>
        <w:trPr>
          <w:trHeight w:val="41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asciiTheme="minorEastAsia" w:hAnsiTheme="minorEastAsia"/>
                <w:caps/>
                <w:sz w:val="22"/>
                <w:szCs w:val="22"/>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部位</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楼层</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规格尺寸（mm）</w:t>
            </w:r>
            <w:r>
              <w:rPr>
                <w:rFonts w:hint="eastAsia" w:cs="Calibri" w:asciiTheme="minorEastAsia" w:hAnsiTheme="minorEastAsia"/>
                <w:sz w:val="22"/>
                <w:szCs w:val="22"/>
              </w:rPr>
              <w:br w:type="textWrapping"/>
            </w:r>
            <w:r>
              <w:rPr>
                <w:rFonts w:hint="eastAsia" w:cs="Calibri" w:asciiTheme="minorEastAsia" w:hAnsiTheme="minorEastAsia"/>
                <w:sz w:val="22"/>
                <w:szCs w:val="22"/>
              </w:rPr>
              <w:t>(高*宽)</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asciiTheme="minorEastAsia" w:hAnsiTheme="minorEastAsia"/>
                <w:caps/>
                <w:sz w:val="22"/>
                <w:szCs w:val="22"/>
              </w:rPr>
              <w:t>数量</w:t>
            </w:r>
            <w:r>
              <w:rPr>
                <w:rFonts w:hint="eastAsia" w:cs="Calibri" w:asciiTheme="minorEastAsia" w:hAnsiTheme="minorEastAsia"/>
                <w:sz w:val="22"/>
                <w:szCs w:val="22"/>
              </w:rPr>
              <w:t>（樘）</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面积（㎡）</w:t>
            </w:r>
          </w:p>
        </w:tc>
        <w:tc>
          <w:tcPr>
            <w:tcW w:w="3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r>
              <w:rPr>
                <w:rFonts w:hint="eastAsia" w:cs="Calibri" w:asciiTheme="minorEastAsia" w:hAnsiTheme="minorEastAsia"/>
                <w:sz w:val="22"/>
                <w:szCs w:val="22"/>
              </w:rPr>
              <w:t>五金配件</w:t>
            </w:r>
          </w:p>
        </w:tc>
      </w:tr>
      <w:tr>
        <w:tblPrEx>
          <w:tblCellMar>
            <w:top w:w="15" w:type="dxa"/>
            <w:left w:w="15" w:type="dxa"/>
            <w:bottom w:w="15" w:type="dxa"/>
            <w:right w:w="15" w:type="dxa"/>
          </w:tblCellMar>
        </w:tblPrEx>
        <w:trPr>
          <w:trHeight w:val="728"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841" w:type="dxa"/>
            <w:tcBorders>
              <w:left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闭门器</w:t>
            </w:r>
            <w:r>
              <w:rPr>
                <w:rFonts w:hint="eastAsia" w:cs="Calibri" w:asciiTheme="minorEastAsia" w:hAnsiTheme="minorEastAsia"/>
                <w:sz w:val="22"/>
                <w:szCs w:val="22"/>
              </w:rPr>
              <w:br w:type="textWrapping"/>
            </w:r>
            <w:r>
              <w:rPr>
                <w:rFonts w:hint="eastAsia" w:cs="Calibri" w:asciiTheme="minorEastAsia" w:hAnsiTheme="minorEastAsia"/>
                <w:sz w:val="22"/>
                <w:szCs w:val="22"/>
              </w:rPr>
              <w:t>（个）</w:t>
            </w:r>
          </w:p>
        </w:tc>
        <w:tc>
          <w:tcPr>
            <w:tcW w:w="796" w:type="dxa"/>
            <w:tcBorders>
              <w:left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顺位器</w:t>
            </w:r>
            <w:r>
              <w:rPr>
                <w:rFonts w:hint="eastAsia" w:cs="Calibri" w:asciiTheme="minorEastAsia" w:hAnsiTheme="minorEastAsia"/>
                <w:sz w:val="22"/>
                <w:szCs w:val="22"/>
              </w:rPr>
              <w:br w:type="textWrapping"/>
            </w:r>
            <w:r>
              <w:rPr>
                <w:rFonts w:hint="eastAsia" w:cs="Calibri" w:asciiTheme="minorEastAsia" w:hAnsiTheme="minorEastAsia"/>
                <w:sz w:val="22"/>
                <w:szCs w:val="22"/>
              </w:rPr>
              <w:t>（个）</w:t>
            </w:r>
          </w:p>
        </w:tc>
        <w:tc>
          <w:tcPr>
            <w:tcW w:w="830" w:type="dxa"/>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门锁</w:t>
            </w:r>
            <w:r>
              <w:rPr>
                <w:rFonts w:hint="eastAsia" w:cs="Calibri" w:asciiTheme="minorEastAsia" w:hAnsiTheme="minorEastAsia"/>
                <w:sz w:val="22"/>
                <w:szCs w:val="22"/>
              </w:rPr>
              <w:br w:type="textWrapping"/>
            </w:r>
            <w:r>
              <w:rPr>
                <w:rFonts w:hint="eastAsia" w:cs="Calibri" w:asciiTheme="minorEastAsia" w:hAnsiTheme="minorEastAsia"/>
                <w:sz w:val="22"/>
                <w:szCs w:val="22"/>
              </w:rPr>
              <w:t>（把）</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铰链</w:t>
            </w:r>
            <w:r>
              <w:rPr>
                <w:rFonts w:hint="eastAsia" w:cs="Calibri" w:asciiTheme="minorEastAsia" w:hAnsiTheme="minorEastAsia"/>
                <w:sz w:val="22"/>
                <w:szCs w:val="22"/>
              </w:rPr>
              <w:br w:type="textWrapping"/>
            </w:r>
            <w:r>
              <w:rPr>
                <w:rFonts w:hint="eastAsia" w:cs="Calibri" w:asciiTheme="minorEastAsia" w:hAnsiTheme="minorEastAsia"/>
                <w:sz w:val="22"/>
                <w:szCs w:val="22"/>
              </w:rPr>
              <w:t>（个）</w:t>
            </w:r>
          </w:p>
        </w:tc>
      </w:tr>
      <w:tr>
        <w:tblPrEx>
          <w:tblCellMar>
            <w:top w:w="15" w:type="dxa"/>
            <w:left w:w="15" w:type="dxa"/>
            <w:bottom w:w="15" w:type="dxa"/>
            <w:right w:w="15" w:type="dxa"/>
          </w:tblCellMar>
        </w:tblPrEx>
        <w:trPr>
          <w:trHeight w:val="69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1号宿舍</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2至6层</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2100*1500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31.5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80</w:t>
            </w:r>
          </w:p>
        </w:tc>
      </w:tr>
      <w:tr>
        <w:tblPrEx>
          <w:tblCellMar>
            <w:top w:w="15" w:type="dxa"/>
            <w:left w:w="15" w:type="dxa"/>
            <w:bottom w:w="15" w:type="dxa"/>
            <w:right w:w="15" w:type="dxa"/>
          </w:tblCellMar>
        </w:tblPrEx>
        <w:trPr>
          <w:trHeight w:val="63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2、3号宿舍</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1至6层</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2400*1800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24</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103.68</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192</w:t>
            </w:r>
          </w:p>
        </w:tc>
      </w:tr>
      <w:tr>
        <w:tblPrEx>
          <w:tblCellMar>
            <w:top w:w="15" w:type="dxa"/>
            <w:left w:w="15" w:type="dxa"/>
            <w:bottom w:w="15" w:type="dxa"/>
            <w:right w:w="15" w:type="dxa"/>
          </w:tblCellMar>
        </w:tblPrEx>
        <w:trPr>
          <w:trHeight w:val="658"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2、3号宿舍</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顶层</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2100*1800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15.12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32</w:t>
            </w:r>
          </w:p>
        </w:tc>
      </w:tr>
      <w:tr>
        <w:tblPrEx>
          <w:tblCellMar>
            <w:top w:w="15" w:type="dxa"/>
            <w:left w:w="15" w:type="dxa"/>
            <w:bottom w:w="15" w:type="dxa"/>
            <w:right w:w="15" w:type="dxa"/>
          </w:tblCellMar>
        </w:tblPrEx>
        <w:trPr>
          <w:trHeight w:val="568" w:hRule="atLeast"/>
        </w:trPr>
        <w:tc>
          <w:tcPr>
            <w:tcW w:w="653" w:type="dxa"/>
            <w:vMerge w:val="restart"/>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4号宿舍</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1层</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2100*1200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5.04</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16</w:t>
            </w:r>
          </w:p>
        </w:tc>
      </w:tr>
      <w:tr>
        <w:tblPrEx>
          <w:tblCellMar>
            <w:top w:w="15" w:type="dxa"/>
            <w:left w:w="15" w:type="dxa"/>
            <w:bottom w:w="15" w:type="dxa"/>
            <w:right w:w="15" w:type="dxa"/>
          </w:tblCellMar>
        </w:tblPrEx>
        <w:trPr>
          <w:trHeight w:val="552" w:hRule="atLeast"/>
        </w:trPr>
        <w:tc>
          <w:tcPr>
            <w:tcW w:w="653" w:type="dxa"/>
            <w:vMerge w:val="continue"/>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2400*1000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4.8</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8</w:t>
            </w:r>
          </w:p>
        </w:tc>
      </w:tr>
      <w:tr>
        <w:tblPrEx>
          <w:tblCellMar>
            <w:top w:w="15" w:type="dxa"/>
            <w:left w:w="15" w:type="dxa"/>
            <w:bottom w:w="15" w:type="dxa"/>
            <w:right w:w="15" w:type="dxa"/>
          </w:tblCellMar>
        </w:tblPrEx>
        <w:trPr>
          <w:trHeight w:val="583" w:hRule="atLeast"/>
        </w:trPr>
        <w:tc>
          <w:tcPr>
            <w:tcW w:w="653" w:type="dxa"/>
            <w:vMerge w:val="continue"/>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2至6层</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2100*1800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37.8</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80</w:t>
            </w:r>
          </w:p>
        </w:tc>
      </w:tr>
      <w:tr>
        <w:tblPrEx>
          <w:tblCellMar>
            <w:top w:w="15" w:type="dxa"/>
            <w:left w:w="15" w:type="dxa"/>
            <w:bottom w:w="15" w:type="dxa"/>
            <w:right w:w="15" w:type="dxa"/>
          </w:tblCellMar>
        </w:tblPrEx>
        <w:trPr>
          <w:trHeight w:val="560" w:hRule="atLeast"/>
        </w:trPr>
        <w:tc>
          <w:tcPr>
            <w:tcW w:w="653" w:type="dxa"/>
            <w:vMerge w:val="continue"/>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顶层</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2050*1600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6.56</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16</w:t>
            </w:r>
          </w:p>
        </w:tc>
      </w:tr>
      <w:tr>
        <w:tblPrEx>
          <w:tblCellMar>
            <w:top w:w="15" w:type="dxa"/>
            <w:left w:w="15" w:type="dxa"/>
            <w:bottom w:w="15" w:type="dxa"/>
            <w:right w:w="15" w:type="dxa"/>
          </w:tblCellMar>
        </w:tblPrEx>
        <w:trPr>
          <w:trHeight w:val="480" w:hRule="atLeast"/>
        </w:trPr>
        <w:tc>
          <w:tcPr>
            <w:tcW w:w="653" w:type="dxa"/>
            <w:vMerge w:val="continue"/>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地下室</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2000*1500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3</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8</w:t>
            </w:r>
          </w:p>
        </w:tc>
      </w:tr>
      <w:tr>
        <w:tblPrEx>
          <w:tblCellMar>
            <w:top w:w="15" w:type="dxa"/>
            <w:left w:w="15" w:type="dxa"/>
            <w:bottom w:w="15" w:type="dxa"/>
            <w:right w:w="15" w:type="dxa"/>
          </w:tblCellMar>
        </w:tblPrEx>
        <w:trPr>
          <w:trHeight w:val="472" w:hRule="atLeast"/>
        </w:trPr>
        <w:tc>
          <w:tcPr>
            <w:tcW w:w="653" w:type="dxa"/>
            <w:vMerge w:val="continue"/>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514" w:type="dxa"/>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2000*1000</w:t>
            </w:r>
          </w:p>
        </w:tc>
        <w:tc>
          <w:tcPr>
            <w:tcW w:w="954" w:type="dxa"/>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w:t>
            </w:r>
          </w:p>
        </w:tc>
        <w:tc>
          <w:tcPr>
            <w:tcW w:w="1302" w:type="dxa"/>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w:t>
            </w:r>
          </w:p>
        </w:tc>
      </w:tr>
      <w:tr>
        <w:tblPrEx>
          <w:tblCellMar>
            <w:top w:w="15" w:type="dxa"/>
            <w:left w:w="15" w:type="dxa"/>
            <w:bottom w:w="15" w:type="dxa"/>
            <w:right w:w="15" w:type="dxa"/>
          </w:tblCellMar>
        </w:tblPrEx>
        <w:trPr>
          <w:trHeight w:val="49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5</w:t>
            </w:r>
          </w:p>
        </w:tc>
        <w:tc>
          <w:tcPr>
            <w:tcW w:w="5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r>
              <w:rPr>
                <w:rFonts w:hint="eastAsia" w:cs="Calibri" w:asciiTheme="minorEastAsia" w:hAnsiTheme="minorEastAsia"/>
                <w:sz w:val="22"/>
                <w:szCs w:val="22"/>
              </w:rPr>
              <w:t>备用</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88</w:t>
            </w:r>
          </w:p>
        </w:tc>
      </w:tr>
      <w:tr>
        <w:tblPrEx>
          <w:tblCellMar>
            <w:top w:w="15" w:type="dxa"/>
            <w:left w:w="15" w:type="dxa"/>
            <w:bottom w:w="15" w:type="dxa"/>
            <w:right w:w="15" w:type="dxa"/>
          </w:tblCellMar>
        </w:tblPrEx>
        <w:trPr>
          <w:trHeight w:val="520" w:hRule="atLeast"/>
        </w:trPr>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r>
              <w:rPr>
                <w:rFonts w:hint="eastAsia" w:cs="Calibri" w:asciiTheme="minorEastAsia" w:hAnsiTheme="minorEastAsia"/>
                <w:sz w:val="22"/>
                <w:szCs w:val="22"/>
              </w:rPr>
              <w:t>合计</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56</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209.5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131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64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131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524</w:t>
            </w:r>
          </w:p>
        </w:tc>
      </w:tr>
    </w:tbl>
    <w:p>
      <w:pPr>
        <w:adjustRightInd w:val="0"/>
        <w:snapToGrid w:val="0"/>
        <w:spacing w:line="360" w:lineRule="exact"/>
        <w:ind w:firstLine="440"/>
        <w:rPr>
          <w:rFonts w:cs="Calibri" w:asciiTheme="minorEastAsia" w:hAnsiTheme="minorEastAsia"/>
          <w:sz w:val="22"/>
          <w:szCs w:val="22"/>
        </w:rPr>
      </w:pPr>
      <w:r>
        <w:rPr>
          <w:rFonts w:hint="eastAsia" w:cs="Calibri" w:asciiTheme="minorEastAsia" w:hAnsiTheme="minorEastAsia"/>
          <w:sz w:val="22"/>
          <w:szCs w:val="22"/>
        </w:rPr>
        <w:t>二、招标内容</w:t>
      </w:r>
    </w:p>
    <w:p>
      <w:pPr>
        <w:adjustRightInd w:val="0"/>
        <w:snapToGrid w:val="0"/>
        <w:spacing w:line="360" w:lineRule="exact"/>
        <w:ind w:firstLine="440"/>
        <w:rPr>
          <w:rFonts w:cs="Calibri" w:asciiTheme="minorEastAsia" w:hAnsiTheme="minorEastAsia"/>
          <w:sz w:val="22"/>
          <w:szCs w:val="22"/>
        </w:rPr>
      </w:pPr>
      <w:r>
        <w:rPr>
          <w:rFonts w:hint="eastAsia" w:cs="Calibri" w:asciiTheme="minorEastAsia" w:hAnsiTheme="minorEastAsia"/>
          <w:sz w:val="22"/>
          <w:szCs w:val="22"/>
        </w:rPr>
        <w:t>本次招标的内容为杭州萧山国际</w:t>
      </w:r>
      <w:r>
        <w:rPr>
          <w:rFonts w:hint="eastAsia" w:cs="Arial" w:asciiTheme="minorEastAsia" w:hAnsiTheme="minorEastAsia"/>
          <w:kern w:val="0"/>
          <w:sz w:val="22"/>
          <w:szCs w:val="22"/>
        </w:rPr>
        <w:t>机场员工集体宿舍防火门更换</w:t>
      </w:r>
      <w:r>
        <w:rPr>
          <w:rFonts w:hint="eastAsia" w:cs="Calibri" w:asciiTheme="minorEastAsia" w:hAnsiTheme="minorEastAsia"/>
          <w:sz w:val="22"/>
          <w:szCs w:val="22"/>
        </w:rPr>
        <w:t>项目，内容包括：</w:t>
      </w:r>
    </w:p>
    <w:p>
      <w:pPr>
        <w:numPr>
          <w:ilvl w:val="0"/>
          <w:numId w:val="2"/>
        </w:numPr>
        <w:adjustRightInd w:val="0"/>
        <w:snapToGrid w:val="0"/>
        <w:spacing w:line="360" w:lineRule="exact"/>
        <w:ind w:left="240" w:leftChars="100" w:firstLine="200"/>
        <w:rPr>
          <w:rFonts w:cs="Calibri" w:asciiTheme="minorEastAsia" w:hAnsiTheme="minorEastAsia"/>
          <w:sz w:val="22"/>
          <w:szCs w:val="22"/>
        </w:rPr>
      </w:pPr>
      <w:r>
        <w:rPr>
          <w:rFonts w:hint="eastAsia" w:cs="Arial" w:asciiTheme="minorEastAsia" w:hAnsiTheme="minorEastAsia"/>
          <w:kern w:val="0"/>
          <w:sz w:val="22"/>
          <w:szCs w:val="22"/>
        </w:rPr>
        <w:t>机场员工集体宿舍防火门及五金配件</w:t>
      </w:r>
      <w:r>
        <w:rPr>
          <w:rFonts w:hint="eastAsia" w:cs="Calibri" w:asciiTheme="minorEastAsia" w:hAnsiTheme="minorEastAsia"/>
          <w:sz w:val="22"/>
          <w:szCs w:val="22"/>
        </w:rPr>
        <w:t xml:space="preserve">的采购、运输（送至招标人指定地点）、安装、售后服务、维修及全部竣工验收资料的提供等工作； </w:t>
      </w:r>
    </w:p>
    <w:p>
      <w:pPr>
        <w:numPr>
          <w:ilvl w:val="0"/>
          <w:numId w:val="2"/>
        </w:numPr>
        <w:adjustRightInd w:val="0"/>
        <w:snapToGrid w:val="0"/>
        <w:spacing w:line="360" w:lineRule="exact"/>
        <w:ind w:firstLine="440"/>
        <w:rPr>
          <w:rFonts w:cs="Calibri" w:asciiTheme="minorEastAsia" w:hAnsiTheme="minorEastAsia"/>
          <w:sz w:val="22"/>
          <w:szCs w:val="22"/>
        </w:rPr>
      </w:pPr>
      <w:r>
        <w:rPr>
          <w:rFonts w:hint="eastAsia" w:cs="Arial" w:asciiTheme="minorEastAsia" w:hAnsiTheme="minorEastAsia"/>
          <w:kern w:val="0"/>
          <w:sz w:val="22"/>
          <w:szCs w:val="22"/>
        </w:rPr>
        <w:t>原防火门拆除、外运及垃圾清理（运距自行考虑）；</w:t>
      </w:r>
    </w:p>
    <w:p>
      <w:pPr>
        <w:numPr>
          <w:ilvl w:val="0"/>
          <w:numId w:val="2"/>
        </w:numPr>
        <w:adjustRightInd w:val="0"/>
        <w:snapToGrid w:val="0"/>
        <w:spacing w:line="360" w:lineRule="exact"/>
        <w:ind w:firstLine="440"/>
        <w:rPr>
          <w:rFonts w:cs="Calibri" w:asciiTheme="minorEastAsia" w:hAnsiTheme="minorEastAsia"/>
          <w:sz w:val="22"/>
          <w:szCs w:val="22"/>
        </w:rPr>
      </w:pPr>
      <w:r>
        <w:rPr>
          <w:rFonts w:hint="eastAsia" w:cs="Arial" w:asciiTheme="minorEastAsia" w:hAnsiTheme="minorEastAsia"/>
          <w:kern w:val="0"/>
          <w:sz w:val="22"/>
          <w:szCs w:val="22"/>
        </w:rPr>
        <w:t>原防火门拆除后门洞（含相连墙体及踢脚线）修补还原，恢复原状。</w:t>
      </w:r>
    </w:p>
    <w:p>
      <w:pPr>
        <w:numPr>
          <w:ilvl w:val="0"/>
          <w:numId w:val="3"/>
        </w:numPr>
        <w:adjustRightInd w:val="0"/>
        <w:snapToGrid w:val="0"/>
        <w:spacing w:line="36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产品要求</w:t>
      </w:r>
    </w:p>
    <w:p>
      <w:pPr>
        <w:numPr>
          <w:ilvl w:val="0"/>
          <w:numId w:val="4"/>
        </w:numPr>
        <w:adjustRightInd w:val="0"/>
        <w:snapToGrid w:val="0"/>
        <w:spacing w:line="360" w:lineRule="exact"/>
        <w:ind w:left="237" w:leftChars="91" w:hanging="19" w:hangingChars="9"/>
        <w:rPr>
          <w:sz w:val="22"/>
          <w:szCs w:val="22"/>
        </w:rPr>
      </w:pPr>
      <w:r>
        <w:rPr>
          <w:rFonts w:hint="eastAsia"/>
          <w:sz w:val="22"/>
          <w:szCs w:val="22"/>
        </w:rPr>
        <w:t>防火门及五金配件技术要求</w:t>
      </w:r>
    </w:p>
    <w:p>
      <w:pPr>
        <w:adjustRightInd w:val="0"/>
        <w:snapToGrid w:val="0"/>
        <w:spacing w:line="360" w:lineRule="exact"/>
        <w:ind w:left="237" w:leftChars="91" w:hanging="19" w:hangingChars="9"/>
        <w:rPr>
          <w:sz w:val="22"/>
          <w:szCs w:val="22"/>
        </w:rPr>
      </w:pPr>
      <w:r>
        <w:rPr>
          <w:rFonts w:ascii="宋体" w:hAnsi="宋体" w:cs="Calibri"/>
          <w:kern w:val="0"/>
          <w:sz w:val="22"/>
          <w:szCs w:val="22"/>
        </w:rPr>
        <w:t>★</w:t>
      </w:r>
      <w:r>
        <w:rPr>
          <w:sz w:val="22"/>
          <w:szCs w:val="22"/>
        </w:rPr>
        <w:t>1</w:t>
      </w:r>
      <w:r>
        <w:rPr>
          <w:rFonts w:hint="eastAsia"/>
          <w:sz w:val="22"/>
          <w:szCs w:val="22"/>
        </w:rPr>
        <w:t>、防火等级：防火门必须是</w:t>
      </w:r>
      <w:r>
        <w:rPr>
          <w:rFonts w:hint="eastAsia"/>
          <w:b/>
          <w:bCs/>
          <w:sz w:val="22"/>
          <w:szCs w:val="22"/>
        </w:rPr>
        <w:t>甲级钢质防火门</w:t>
      </w:r>
      <w:r>
        <w:rPr>
          <w:rFonts w:hint="eastAsia"/>
          <w:sz w:val="22"/>
          <w:szCs w:val="22"/>
        </w:rPr>
        <w:t>、耐火性能达到</w:t>
      </w:r>
      <w:r>
        <w:rPr>
          <w:rFonts w:hint="eastAsia"/>
          <w:b/>
          <w:bCs/>
          <w:sz w:val="22"/>
          <w:szCs w:val="22"/>
        </w:rPr>
        <w:t>1.50h</w:t>
      </w:r>
      <w:r>
        <w:rPr>
          <w:rFonts w:hint="eastAsia"/>
          <w:sz w:val="22"/>
          <w:szCs w:val="22"/>
        </w:rPr>
        <w:t>。防火门上应</w:t>
      </w:r>
      <w:r>
        <w:rPr>
          <w:rFonts w:hint="eastAsia"/>
          <w:b/>
          <w:bCs/>
          <w:sz w:val="22"/>
          <w:szCs w:val="22"/>
        </w:rPr>
        <w:t>安装亮子</w:t>
      </w:r>
      <w:r>
        <w:rPr>
          <w:rFonts w:hint="eastAsia"/>
          <w:sz w:val="22"/>
          <w:szCs w:val="22"/>
        </w:rPr>
        <w:t>，且亮子的耐火性能不得低于门体。</w:t>
      </w:r>
    </w:p>
    <w:p>
      <w:pPr>
        <w:adjustRightInd w:val="0"/>
        <w:snapToGrid w:val="0"/>
        <w:spacing w:line="360" w:lineRule="exact"/>
        <w:ind w:left="237" w:leftChars="91" w:hanging="19" w:hangingChars="9"/>
        <w:rPr>
          <w:sz w:val="22"/>
          <w:szCs w:val="22"/>
        </w:rPr>
      </w:pPr>
      <w:r>
        <w:rPr>
          <w:rFonts w:hint="eastAsia"/>
          <w:sz w:val="22"/>
          <w:szCs w:val="22"/>
        </w:rPr>
        <w:t>2、材质：选用冷轧镀锌钢板，门扇材料厚度≥1.0mm，门框材料厚度≥1.5mm，铰链板≥3.0mm；门芯材料使用对人体无毒无害的防火隔热材料，且均符合型式检验报告。</w:t>
      </w:r>
    </w:p>
    <w:p>
      <w:pPr>
        <w:adjustRightInd w:val="0"/>
        <w:snapToGrid w:val="0"/>
        <w:spacing w:line="360" w:lineRule="exact"/>
        <w:ind w:left="237" w:leftChars="91" w:hanging="19" w:hangingChars="9"/>
        <w:rPr>
          <w:sz w:val="22"/>
          <w:szCs w:val="22"/>
        </w:rPr>
      </w:pPr>
      <w:r>
        <w:rPr>
          <w:rFonts w:hint="eastAsia"/>
          <w:sz w:val="22"/>
          <w:szCs w:val="22"/>
        </w:rPr>
        <w:t>3、工艺：折弯、焊接成型，尺寸极限偏差和形位公差符合国家防火门标准的具体要求。</w:t>
      </w:r>
    </w:p>
    <w:p>
      <w:pPr>
        <w:adjustRightInd w:val="0"/>
        <w:snapToGrid w:val="0"/>
        <w:spacing w:line="360" w:lineRule="exact"/>
        <w:ind w:left="237" w:leftChars="91" w:hanging="19" w:hangingChars="9"/>
        <w:rPr>
          <w:sz w:val="22"/>
          <w:szCs w:val="22"/>
        </w:rPr>
      </w:pPr>
      <w:r>
        <w:rPr>
          <w:rFonts w:hint="eastAsia"/>
          <w:sz w:val="22"/>
          <w:szCs w:val="22"/>
        </w:rPr>
        <w:t>4、质量：门扇重量不应小于门扇的设计重量，与其型式检验报告内容一致。</w:t>
      </w:r>
    </w:p>
    <w:p>
      <w:pPr>
        <w:adjustRightInd w:val="0"/>
        <w:snapToGrid w:val="0"/>
        <w:spacing w:line="360" w:lineRule="exact"/>
        <w:ind w:left="237" w:leftChars="91" w:hanging="19" w:hangingChars="9"/>
        <w:rPr>
          <w:sz w:val="22"/>
          <w:szCs w:val="22"/>
        </w:rPr>
      </w:pPr>
      <w:r>
        <w:rPr>
          <w:rFonts w:hint="eastAsia"/>
          <w:sz w:val="22"/>
          <w:szCs w:val="22"/>
        </w:rPr>
        <w:t>5、外观：表面应平整、光洁、无明显凹痕或机械损伤。</w:t>
      </w:r>
    </w:p>
    <w:p>
      <w:pPr>
        <w:adjustRightInd w:val="0"/>
        <w:snapToGrid w:val="0"/>
        <w:spacing w:line="360" w:lineRule="exact"/>
        <w:ind w:left="237" w:leftChars="91" w:hanging="19" w:hangingChars="9"/>
        <w:rPr>
          <w:sz w:val="22"/>
          <w:szCs w:val="22"/>
        </w:rPr>
      </w:pPr>
      <w:r>
        <w:rPr>
          <w:rFonts w:hint="eastAsia"/>
          <w:sz w:val="22"/>
          <w:szCs w:val="22"/>
        </w:rPr>
        <w:t>6、涂层、镀层：应均匀、平整、光滑，不应有堆漆、麻点、气泡、漏涂以及流淌等现象。</w:t>
      </w:r>
    </w:p>
    <w:p>
      <w:pPr>
        <w:adjustRightInd w:val="0"/>
        <w:snapToGrid w:val="0"/>
        <w:spacing w:line="360" w:lineRule="exact"/>
        <w:ind w:left="237" w:leftChars="91" w:hanging="19" w:hangingChars="9"/>
        <w:rPr>
          <w:sz w:val="22"/>
          <w:szCs w:val="22"/>
        </w:rPr>
      </w:pPr>
      <w:r>
        <w:rPr>
          <w:rFonts w:hint="eastAsia"/>
          <w:sz w:val="22"/>
          <w:szCs w:val="22"/>
        </w:rPr>
        <w:t>7、焊接：应牢固，焊点分布均匀，不允许有假焊、烧穿、漏焊、夹渣或疏松等现象，外表面焊接处应打磨平整。</w:t>
      </w:r>
    </w:p>
    <w:p>
      <w:pPr>
        <w:adjustRightInd w:val="0"/>
        <w:snapToGrid w:val="0"/>
        <w:spacing w:line="360" w:lineRule="exact"/>
        <w:ind w:left="237" w:leftChars="91" w:hanging="19" w:hangingChars="9"/>
        <w:rPr>
          <w:sz w:val="22"/>
          <w:szCs w:val="22"/>
        </w:rPr>
      </w:pPr>
      <w:r>
        <w:rPr>
          <w:rFonts w:hint="eastAsia"/>
          <w:sz w:val="22"/>
          <w:szCs w:val="22"/>
        </w:rPr>
        <w:t>8、防火门门框与门扇、门扇与门扇的缝隙处应嵌装由不燃性材料制成的防火密封件。</w:t>
      </w:r>
    </w:p>
    <w:p>
      <w:pPr>
        <w:adjustRightInd w:val="0"/>
        <w:snapToGrid w:val="0"/>
        <w:spacing w:line="360" w:lineRule="exact"/>
        <w:ind w:left="237" w:leftChars="91" w:hanging="19" w:hangingChars="9"/>
        <w:rPr>
          <w:sz w:val="22"/>
          <w:szCs w:val="22"/>
        </w:rPr>
      </w:pPr>
      <w:r>
        <w:rPr>
          <w:rFonts w:hint="eastAsia"/>
          <w:sz w:val="22"/>
          <w:szCs w:val="22"/>
        </w:rPr>
        <w:t>9、双扇门中间必须设有盖缝板，并装设防火闭门器和顺序器等。</w:t>
      </w:r>
    </w:p>
    <w:p>
      <w:pPr>
        <w:adjustRightInd w:val="0"/>
        <w:snapToGrid w:val="0"/>
        <w:spacing w:line="360" w:lineRule="exact"/>
        <w:ind w:left="237" w:leftChars="91" w:hanging="19" w:hangingChars="9"/>
        <w:rPr>
          <w:sz w:val="22"/>
          <w:szCs w:val="22"/>
        </w:rPr>
      </w:pPr>
      <w:r>
        <w:rPr>
          <w:rFonts w:hint="eastAsia"/>
          <w:sz w:val="22"/>
          <w:szCs w:val="22"/>
        </w:rPr>
        <w:t>10、防火表面涂层颜色要求：门体颜色应与宿舍装修色协调，中标单位后必须与业主协商确认。</w:t>
      </w:r>
    </w:p>
    <w:p>
      <w:pPr>
        <w:adjustRightInd w:val="0"/>
        <w:snapToGrid w:val="0"/>
        <w:spacing w:line="360" w:lineRule="exact"/>
        <w:ind w:left="237" w:leftChars="91" w:hanging="19" w:hangingChars="9"/>
        <w:rPr>
          <w:sz w:val="22"/>
          <w:szCs w:val="22"/>
        </w:rPr>
      </w:pPr>
      <w:r>
        <w:rPr>
          <w:rFonts w:hint="eastAsia"/>
          <w:sz w:val="22"/>
          <w:szCs w:val="22"/>
        </w:rPr>
        <w:t>11、必须采用具有国家认可授权检测机构出具有效检验报告的五金配件。</w:t>
      </w:r>
    </w:p>
    <w:p>
      <w:pPr>
        <w:adjustRightInd w:val="0"/>
        <w:snapToGrid w:val="0"/>
        <w:spacing w:line="360" w:lineRule="exact"/>
        <w:ind w:left="237" w:leftChars="91" w:hanging="19" w:hangingChars="9"/>
        <w:rPr>
          <w:sz w:val="22"/>
          <w:szCs w:val="22"/>
        </w:rPr>
      </w:pPr>
      <w:r>
        <w:rPr>
          <w:rFonts w:hint="eastAsia"/>
          <w:sz w:val="22"/>
          <w:szCs w:val="22"/>
        </w:rPr>
        <w:t>12、防火闭门器使用寿命≥50万次，防火锁、防火合页、防火插销和防火顺位器等五金配件应符合GB12955-2008要求，且耐火极限不低于90min。（需提供检验报告或质量证明文件）</w:t>
      </w:r>
    </w:p>
    <w:p>
      <w:pPr>
        <w:adjustRightInd w:val="0"/>
        <w:snapToGrid w:val="0"/>
        <w:spacing w:line="360" w:lineRule="exact"/>
        <w:ind w:left="237" w:leftChars="91" w:hanging="19" w:hangingChars="9"/>
        <w:rPr>
          <w:rFonts w:hint="eastAsia"/>
          <w:sz w:val="22"/>
          <w:szCs w:val="22"/>
          <w:lang w:eastAsia="zh-CN"/>
        </w:rPr>
      </w:pPr>
      <w:r>
        <w:rPr>
          <w:rFonts w:hint="eastAsia"/>
          <w:sz w:val="22"/>
          <w:szCs w:val="22"/>
          <w:lang w:eastAsia="zh-CN"/>
        </w:rPr>
        <w:t>13、防火门、闭门器应取得消防产品认证证书，且认证证书在有效期内。</w:t>
      </w:r>
    </w:p>
    <w:p>
      <w:pPr>
        <w:adjustRightInd w:val="0"/>
        <w:snapToGrid w:val="0"/>
        <w:spacing w:line="360" w:lineRule="exact"/>
        <w:ind w:left="237" w:leftChars="91" w:hanging="19" w:hangingChars="9"/>
        <w:rPr>
          <w:sz w:val="22"/>
          <w:szCs w:val="22"/>
        </w:rPr>
      </w:pPr>
      <w:bookmarkStart w:id="95" w:name="_GoBack"/>
      <w:bookmarkEnd w:id="95"/>
      <w:r>
        <w:rPr>
          <w:rFonts w:hint="eastAsia"/>
          <w:sz w:val="22"/>
          <w:szCs w:val="22"/>
        </w:rPr>
        <w:t>14、防火门技术规范及标准</w:t>
      </w:r>
    </w:p>
    <w:p>
      <w:pPr>
        <w:adjustRightInd w:val="0"/>
        <w:snapToGrid w:val="0"/>
        <w:spacing w:line="360" w:lineRule="exact"/>
        <w:ind w:left="237" w:leftChars="91" w:hanging="19" w:hangingChars="9"/>
        <w:rPr>
          <w:sz w:val="22"/>
          <w:szCs w:val="22"/>
        </w:rPr>
      </w:pPr>
      <w:r>
        <w:rPr>
          <w:rFonts w:hint="eastAsia"/>
          <w:sz w:val="22"/>
          <w:szCs w:val="22"/>
        </w:rPr>
        <w:t>所有使用材料的各项技术指标应符合但不只限于下列国家规范、标准与要求：</w:t>
      </w:r>
    </w:p>
    <w:p>
      <w:pPr>
        <w:adjustRightInd w:val="0"/>
        <w:snapToGrid w:val="0"/>
        <w:spacing w:line="360" w:lineRule="exact"/>
        <w:ind w:left="237" w:leftChars="91" w:hanging="19" w:hangingChars="9"/>
        <w:rPr>
          <w:sz w:val="22"/>
          <w:szCs w:val="22"/>
        </w:rPr>
      </w:pPr>
      <w:r>
        <w:rPr>
          <w:rFonts w:hint="eastAsia"/>
          <w:sz w:val="22"/>
          <w:szCs w:val="22"/>
        </w:rPr>
        <w:t>（1）《防火门》GB12955-2008</w:t>
      </w:r>
    </w:p>
    <w:p>
      <w:pPr>
        <w:adjustRightInd w:val="0"/>
        <w:snapToGrid w:val="0"/>
        <w:spacing w:line="360" w:lineRule="exact"/>
        <w:ind w:left="237" w:leftChars="91" w:hanging="19" w:hangingChars="9"/>
        <w:rPr>
          <w:sz w:val="22"/>
          <w:szCs w:val="22"/>
        </w:rPr>
      </w:pPr>
      <w:r>
        <w:rPr>
          <w:rFonts w:hint="eastAsia"/>
          <w:sz w:val="22"/>
          <w:szCs w:val="22"/>
        </w:rPr>
        <w:t>（2）《建筑设计防火规范》BG50016-2014</w:t>
      </w:r>
    </w:p>
    <w:p>
      <w:pPr>
        <w:adjustRightInd w:val="0"/>
        <w:snapToGrid w:val="0"/>
        <w:spacing w:line="360" w:lineRule="exact"/>
        <w:ind w:left="237" w:leftChars="91" w:hanging="19" w:hangingChars="9"/>
        <w:rPr>
          <w:sz w:val="22"/>
          <w:szCs w:val="22"/>
        </w:rPr>
      </w:pPr>
      <w:r>
        <w:rPr>
          <w:rFonts w:hint="eastAsia"/>
          <w:sz w:val="22"/>
          <w:szCs w:val="22"/>
        </w:rPr>
        <w:t xml:space="preserve">（3）《防火门闭门器》GA93-2004 </w:t>
      </w:r>
    </w:p>
    <w:p>
      <w:pPr>
        <w:adjustRightInd w:val="0"/>
        <w:snapToGrid w:val="0"/>
        <w:spacing w:line="360" w:lineRule="exact"/>
        <w:ind w:left="237" w:leftChars="91" w:hanging="19" w:hangingChars="9"/>
        <w:rPr>
          <w:sz w:val="22"/>
          <w:szCs w:val="22"/>
        </w:rPr>
      </w:pPr>
      <w:r>
        <w:rPr>
          <w:rFonts w:hint="eastAsia"/>
          <w:sz w:val="22"/>
          <w:szCs w:val="22"/>
        </w:rPr>
        <w:t>（4）《建筑耐火构建产品强制性认证试试细则》CCCF-HZFH-02</w:t>
      </w:r>
    </w:p>
    <w:p>
      <w:pPr>
        <w:adjustRightInd w:val="0"/>
        <w:snapToGrid w:val="0"/>
        <w:spacing w:line="360" w:lineRule="exact"/>
        <w:ind w:left="237" w:leftChars="91" w:hanging="19" w:hangingChars="9"/>
        <w:rPr>
          <w:sz w:val="22"/>
          <w:szCs w:val="22"/>
        </w:rPr>
      </w:pPr>
      <w:r>
        <w:rPr>
          <w:rFonts w:hint="eastAsia"/>
          <w:sz w:val="22"/>
          <w:szCs w:val="22"/>
        </w:rPr>
        <w:t>（5）《钢质防火门通用技术条件》GB/12955－91</w:t>
      </w:r>
    </w:p>
    <w:p>
      <w:pPr>
        <w:adjustRightInd w:val="0"/>
        <w:snapToGrid w:val="0"/>
        <w:spacing w:line="360" w:lineRule="exact"/>
        <w:ind w:left="237" w:leftChars="91" w:hanging="19" w:hangingChars="9"/>
        <w:rPr>
          <w:sz w:val="22"/>
          <w:szCs w:val="22"/>
        </w:rPr>
      </w:pPr>
      <w:r>
        <w:rPr>
          <w:rFonts w:hint="eastAsia"/>
          <w:sz w:val="22"/>
          <w:szCs w:val="22"/>
        </w:rPr>
        <w:t>（6）《门、窗、幕墙用五金附件》04J631</w:t>
      </w:r>
    </w:p>
    <w:p>
      <w:pPr>
        <w:adjustRightInd w:val="0"/>
        <w:snapToGrid w:val="0"/>
        <w:spacing w:line="360" w:lineRule="exact"/>
        <w:ind w:left="237" w:leftChars="91" w:hanging="19" w:hangingChars="9"/>
        <w:rPr>
          <w:sz w:val="22"/>
          <w:szCs w:val="22"/>
        </w:rPr>
      </w:pPr>
      <w:r>
        <w:rPr>
          <w:rFonts w:hint="eastAsia"/>
          <w:sz w:val="22"/>
          <w:szCs w:val="22"/>
        </w:rPr>
        <w:t>如有更新，以国家颁布的最新规范和标准为准。</w:t>
      </w:r>
    </w:p>
    <w:p>
      <w:pPr>
        <w:adjustRightInd w:val="0"/>
        <w:snapToGrid w:val="0"/>
        <w:spacing w:line="360" w:lineRule="exact"/>
        <w:ind w:left="218" w:leftChars="91"/>
        <w:rPr>
          <w:sz w:val="22"/>
          <w:szCs w:val="22"/>
        </w:rPr>
      </w:pPr>
      <w:r>
        <w:rPr>
          <w:rFonts w:hint="eastAsia"/>
          <w:sz w:val="22"/>
          <w:szCs w:val="22"/>
        </w:rPr>
        <w:t>（二）其他要求</w:t>
      </w:r>
    </w:p>
    <w:p>
      <w:pPr>
        <w:adjustRightInd w:val="0"/>
        <w:snapToGrid w:val="0"/>
        <w:spacing w:line="360" w:lineRule="exact"/>
        <w:ind w:left="218" w:leftChars="91"/>
        <w:rPr>
          <w:sz w:val="22"/>
          <w:szCs w:val="22"/>
        </w:rPr>
      </w:pPr>
      <w:r>
        <w:rPr>
          <w:rFonts w:hint="eastAsia"/>
          <w:sz w:val="22"/>
          <w:szCs w:val="22"/>
        </w:rPr>
        <w:t>1、质保期及质保金</w:t>
      </w:r>
    </w:p>
    <w:p>
      <w:pPr>
        <w:adjustRightInd w:val="0"/>
        <w:snapToGrid w:val="0"/>
        <w:spacing w:line="360" w:lineRule="exact"/>
        <w:ind w:left="218" w:leftChars="91"/>
        <w:rPr>
          <w:sz w:val="22"/>
          <w:szCs w:val="22"/>
        </w:rPr>
      </w:pPr>
      <w:r>
        <w:rPr>
          <w:rFonts w:hint="eastAsia"/>
          <w:sz w:val="22"/>
          <w:szCs w:val="22"/>
        </w:rPr>
        <w:t>质保期：自验收合格之日起2年。</w:t>
      </w:r>
    </w:p>
    <w:p>
      <w:pPr>
        <w:adjustRightInd w:val="0"/>
        <w:snapToGrid w:val="0"/>
        <w:spacing w:line="360" w:lineRule="exact"/>
        <w:ind w:left="218" w:leftChars="91"/>
        <w:rPr>
          <w:sz w:val="22"/>
          <w:szCs w:val="22"/>
        </w:rPr>
      </w:pPr>
      <w:r>
        <w:rPr>
          <w:rFonts w:hint="eastAsia"/>
          <w:sz w:val="22"/>
          <w:szCs w:val="22"/>
        </w:rPr>
        <w:t>质保金：合同总价的5%作为质保金，在产品验收合格日起计算满2年后【15】个工作日内无息支付。</w:t>
      </w:r>
    </w:p>
    <w:p>
      <w:pPr>
        <w:adjustRightInd w:val="0"/>
        <w:snapToGrid w:val="0"/>
        <w:spacing w:line="360" w:lineRule="exact"/>
        <w:ind w:left="218" w:leftChars="91"/>
        <w:rPr>
          <w:sz w:val="22"/>
          <w:szCs w:val="22"/>
        </w:rPr>
      </w:pPr>
      <w:r>
        <w:rPr>
          <w:rFonts w:hint="eastAsia"/>
          <w:sz w:val="22"/>
          <w:szCs w:val="22"/>
        </w:rPr>
        <w:t>在质保期内，投标人应对货物出现的质量及安全问题负责处理解决并承担一切费用。</w:t>
      </w:r>
    </w:p>
    <w:p>
      <w:pPr>
        <w:adjustRightInd w:val="0"/>
        <w:snapToGrid w:val="0"/>
        <w:spacing w:line="360" w:lineRule="exact"/>
        <w:ind w:left="218" w:leftChars="91"/>
        <w:rPr>
          <w:sz w:val="22"/>
          <w:szCs w:val="22"/>
        </w:rPr>
      </w:pPr>
      <w:r>
        <w:rPr>
          <w:rFonts w:hint="eastAsia"/>
          <w:sz w:val="22"/>
          <w:szCs w:val="22"/>
        </w:rPr>
        <w:t>2、运输</w:t>
      </w:r>
    </w:p>
    <w:p>
      <w:pPr>
        <w:adjustRightInd w:val="0"/>
        <w:snapToGrid w:val="0"/>
        <w:spacing w:line="360" w:lineRule="exact"/>
        <w:ind w:left="235" w:leftChars="90" w:hanging="19" w:hangingChars="9"/>
        <w:rPr>
          <w:sz w:val="22"/>
          <w:szCs w:val="22"/>
        </w:rPr>
      </w:pPr>
      <w:r>
        <w:rPr>
          <w:rFonts w:hint="eastAsia"/>
          <w:sz w:val="22"/>
          <w:szCs w:val="22"/>
        </w:rPr>
        <w:t>运输避免磕碰，防止货物受损。货物运送至招标人指定地点，投标人必须保证产品的质量和性能要求。</w:t>
      </w:r>
    </w:p>
    <w:p>
      <w:pPr>
        <w:numPr>
          <w:ilvl w:val="0"/>
          <w:numId w:val="5"/>
        </w:numPr>
        <w:adjustRightInd w:val="0"/>
        <w:snapToGrid w:val="0"/>
        <w:spacing w:line="360" w:lineRule="exact"/>
        <w:ind w:left="235" w:leftChars="90" w:hanging="19" w:hangingChars="9"/>
        <w:rPr>
          <w:sz w:val="22"/>
          <w:szCs w:val="22"/>
        </w:rPr>
      </w:pPr>
      <w:r>
        <w:rPr>
          <w:rFonts w:hint="eastAsia"/>
          <w:sz w:val="22"/>
          <w:szCs w:val="22"/>
        </w:rPr>
        <w:t>安装</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sz w:val="22"/>
          <w:szCs w:val="22"/>
        </w:rPr>
        <w:t>（1）防火门拆除、安装过程中应做好门洞、墙体、瓷砖、踢脚线保护工作，并做好</w:t>
      </w:r>
      <w:r>
        <w:rPr>
          <w:rFonts w:hint="eastAsia" w:cs="Arial" w:asciiTheme="minorEastAsia" w:hAnsiTheme="minorEastAsia"/>
          <w:kern w:val="0"/>
          <w:sz w:val="22"/>
          <w:szCs w:val="22"/>
        </w:rPr>
        <w:t>原防火门拆除后门洞（含相连墙体、瓷砖及踢脚线）修补还原工作。</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（2）门扇与门框的搭接尺寸不应小于12mm;门扇与上框的配合活动间隙不应大于3mm；双扇门的门扇之间缝隙不应大于3mm；门扇与下框或地面间隙不应大于9mm。</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（3）防火门安装完成后，其门扇应启闭灵活，并应无反弹、翘角、卡阻和关闭不严现象。</w:t>
      </w:r>
    </w:p>
    <w:p>
      <w:pPr>
        <w:numPr>
          <w:ilvl w:val="0"/>
          <w:numId w:val="6"/>
        </w:num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防火门的开启方式必须为向疏散方向。</w:t>
      </w:r>
    </w:p>
    <w:p>
      <w:pPr>
        <w:adjustRightInd w:val="0"/>
        <w:snapToGrid w:val="0"/>
        <w:spacing w:line="360" w:lineRule="exact"/>
        <w:ind w:left="237" w:leftChars="91" w:hanging="19" w:hangingChars="9"/>
        <w:rPr>
          <w:rFonts w:cs="Arial" w:asciiTheme="minorEastAsia" w:hAnsiTheme="minorEastAsia"/>
          <w:kern w:val="0"/>
          <w:sz w:val="22"/>
          <w:szCs w:val="22"/>
        </w:rPr>
      </w:pPr>
      <w:r>
        <w:rPr>
          <w:rFonts w:hint="eastAsia" w:cs="Arial" w:asciiTheme="minorEastAsia" w:hAnsiTheme="minorEastAsia"/>
          <w:kern w:val="0"/>
          <w:sz w:val="22"/>
          <w:szCs w:val="22"/>
        </w:rPr>
        <w:t>（5）防火门及五金配件的安装应符合</w:t>
      </w:r>
      <w:r>
        <w:rPr>
          <w:rFonts w:hint="eastAsia"/>
          <w:sz w:val="22"/>
          <w:szCs w:val="22"/>
        </w:rPr>
        <w:t>《防火门》GB12955-2008安装要求</w:t>
      </w:r>
    </w:p>
    <w:p>
      <w:pPr>
        <w:numPr>
          <w:ilvl w:val="0"/>
          <w:numId w:val="7"/>
        </w:num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标志</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每樘防火门应在明显位置设置永久性标牌，标牌应包括以下内容：</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（1）产品名称、型号规格及商标；</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（2）制造厂名或制造厂标记和厂址；</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（3）出厂日期及产品生产批号；</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（4）产品标志的制作应符合GB/T13306要求。</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5、样品</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投标人递交投标文件时需提供防火门样品，并在样品门表面张贴本单位名称、货物品牌、数量等信息（投标人取回样品时自行与招标人联系），样品要求如下：</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（1）防火门样品除尺寸外需与成品门一致（须与3CF报告对应的结构相一致）；</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（2）防火门五金配件样品：铰链、闭门器、顺位器、正式锁具等；</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（3）样品门的门扇需斜切45度，以便于展示门扇内部结构。</w:t>
      </w:r>
    </w:p>
    <w:p>
      <w:pPr>
        <w:adjustRightInd w:val="0"/>
        <w:snapToGrid w:val="0"/>
        <w:spacing w:line="360" w:lineRule="exact"/>
        <w:ind w:left="235" w:leftChars="90" w:hanging="19" w:hangingChars="9"/>
        <w:rPr>
          <w:sz w:val="22"/>
          <w:szCs w:val="22"/>
        </w:rPr>
      </w:pPr>
      <w:r>
        <w:rPr>
          <w:rFonts w:hint="eastAsia"/>
          <w:sz w:val="22"/>
          <w:szCs w:val="22"/>
        </w:rPr>
        <w:t xml:space="preserve">  6、产品验收合格的条件</w:t>
      </w:r>
    </w:p>
    <w:p>
      <w:pPr>
        <w:numPr>
          <w:ilvl w:val="0"/>
          <w:numId w:val="8"/>
        </w:numPr>
        <w:adjustRightInd w:val="0"/>
        <w:snapToGrid w:val="0"/>
        <w:spacing w:line="360" w:lineRule="exact"/>
        <w:ind w:left="235" w:leftChars="90" w:hanging="19" w:hangingChars="9"/>
        <w:rPr>
          <w:sz w:val="22"/>
          <w:szCs w:val="22"/>
        </w:rPr>
      </w:pPr>
      <w:r>
        <w:rPr>
          <w:rFonts w:hint="eastAsia"/>
          <w:sz w:val="22"/>
          <w:szCs w:val="22"/>
        </w:rPr>
        <w:t>提供的防火门及五金配件的型号、规格、数量符合招标文件要求；</w:t>
      </w:r>
    </w:p>
    <w:p>
      <w:pPr>
        <w:numPr>
          <w:ilvl w:val="0"/>
          <w:numId w:val="8"/>
        </w:numPr>
        <w:adjustRightInd w:val="0"/>
        <w:snapToGrid w:val="0"/>
        <w:spacing w:line="360" w:lineRule="exact"/>
        <w:ind w:left="235" w:leftChars="90" w:hanging="19" w:hangingChars="9"/>
        <w:rPr>
          <w:sz w:val="22"/>
          <w:szCs w:val="22"/>
        </w:rPr>
      </w:pPr>
      <w:r>
        <w:rPr>
          <w:rFonts w:hint="eastAsia"/>
          <w:sz w:val="22"/>
          <w:szCs w:val="22"/>
        </w:rPr>
        <w:t>防火门安装质量符合招标文件要求。</w:t>
      </w:r>
    </w:p>
    <w:p>
      <w:pPr>
        <w:numPr>
          <w:ilvl w:val="0"/>
          <w:numId w:val="8"/>
        </w:numPr>
        <w:adjustRightInd w:val="0"/>
        <w:snapToGrid w:val="0"/>
        <w:spacing w:line="360" w:lineRule="exact"/>
        <w:ind w:left="235" w:leftChars="90" w:hanging="19" w:hangingChars="9"/>
        <w:rPr>
          <w:sz w:val="22"/>
          <w:szCs w:val="22"/>
        </w:rPr>
      </w:pPr>
      <w:r>
        <w:rPr>
          <w:rFonts w:hint="eastAsia"/>
          <w:sz w:val="22"/>
          <w:szCs w:val="22"/>
        </w:rPr>
        <w:t>已提供防火门及五金配件的3C认证证书及型式检验报告等质量证明文件。</w:t>
      </w:r>
    </w:p>
    <w:p>
      <w:pPr>
        <w:numPr>
          <w:ilvl w:val="0"/>
          <w:numId w:val="8"/>
        </w:numPr>
        <w:adjustRightInd w:val="0"/>
        <w:snapToGrid w:val="0"/>
        <w:spacing w:line="360" w:lineRule="exact"/>
        <w:ind w:left="235" w:leftChars="90" w:hanging="19" w:hangingChars="9"/>
        <w:rPr>
          <w:sz w:val="22"/>
          <w:szCs w:val="22"/>
        </w:rPr>
      </w:pPr>
      <w:r>
        <w:rPr>
          <w:rFonts w:hint="eastAsia"/>
          <w:sz w:val="22"/>
          <w:szCs w:val="22"/>
        </w:rPr>
        <w:t>已完成原防火门的清运处理及门洞修复工作。</w:t>
      </w:r>
    </w:p>
    <w:p>
      <w:pPr>
        <w:adjustRightInd w:val="0"/>
        <w:snapToGrid w:val="0"/>
        <w:spacing w:line="360" w:lineRule="exact"/>
        <w:ind w:left="235" w:leftChars="90" w:hanging="19" w:hangingChars="9"/>
        <w:rPr>
          <w:rFonts w:cs="Calibri" w:asciiTheme="minorEastAsia" w:hAnsiTheme="minorEastAsia"/>
          <w:sz w:val="22"/>
        </w:rPr>
      </w:pPr>
    </w:p>
    <w:p>
      <w:pPr>
        <w:adjustRightInd w:val="0"/>
        <w:snapToGrid w:val="0"/>
        <w:spacing w:line="360" w:lineRule="exact"/>
        <w:ind w:left="235" w:leftChars="90" w:hanging="19" w:hangingChars="9"/>
        <w:rPr>
          <w:rFonts w:cs="Calibri" w:asciiTheme="minorEastAsia" w:hAnsiTheme="minorEastAsia"/>
          <w:sz w:val="22"/>
        </w:rPr>
      </w:pPr>
    </w:p>
    <w:p>
      <w:pPr>
        <w:adjustRightInd w:val="0"/>
        <w:snapToGrid w:val="0"/>
        <w:spacing w:line="360" w:lineRule="exact"/>
        <w:ind w:left="237" w:leftChars="90" w:hanging="21" w:hangingChars="9"/>
        <w:sectPr>
          <w:pgSz w:w="11906" w:h="16838"/>
          <w:pgMar w:top="1134" w:right="1247" w:bottom="1134" w:left="1247" w:header="851" w:footer="992" w:gutter="0"/>
          <w:pgNumType w:fmt="numberInDash"/>
          <w:cols w:space="720" w:num="1"/>
          <w:docGrid w:linePitch="312" w:charSpace="0"/>
        </w:sectPr>
      </w:pPr>
    </w:p>
    <w:p>
      <w:pPr>
        <w:pStyle w:val="13"/>
      </w:pPr>
      <w:r>
        <w:rPr>
          <w:rFonts w:hint="eastAsia"/>
        </w:rPr>
        <w:t xml:space="preserve">第四章  </w:t>
      </w:r>
      <w:r>
        <w:t>合同条款</w:t>
      </w:r>
      <w:bookmarkEnd w:id="75"/>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r>
        <w:rPr>
          <w:rFonts w:hint="eastAsia" w:ascii="宋体" w:hAnsi="宋体"/>
          <w:sz w:val="22"/>
        </w:rPr>
        <w:t xml:space="preserve"> </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b/>
          <w:bCs/>
          <w:sz w:val="22"/>
        </w:rPr>
      </w:pPr>
      <w:r>
        <w:rPr>
          <w:rFonts w:hint="eastAsia" w:ascii="宋体" w:hAnsi="宋体"/>
          <w:b/>
          <w:bCs/>
          <w:sz w:val="22"/>
        </w:rPr>
        <w:t>一、产品规格型号及参数</w:t>
      </w:r>
    </w:p>
    <w:tbl>
      <w:tblPr>
        <w:tblStyle w:val="15"/>
        <w:tblpPr w:leftFromText="180" w:rightFromText="180" w:vertAnchor="text" w:horzAnchor="page" w:tblpX="1234" w:tblpY="106"/>
        <w:tblOverlap w:val="never"/>
        <w:tblW w:w="10000" w:type="dxa"/>
        <w:tblInd w:w="0" w:type="dxa"/>
        <w:tblLayout w:type="fixed"/>
        <w:tblCellMar>
          <w:top w:w="15" w:type="dxa"/>
          <w:left w:w="15" w:type="dxa"/>
          <w:bottom w:w="15" w:type="dxa"/>
          <w:right w:w="15" w:type="dxa"/>
        </w:tblCellMar>
      </w:tblPr>
      <w:tblGrid>
        <w:gridCol w:w="615"/>
        <w:gridCol w:w="916"/>
        <w:gridCol w:w="2769"/>
        <w:gridCol w:w="1433"/>
        <w:gridCol w:w="538"/>
        <w:gridCol w:w="564"/>
        <w:gridCol w:w="1045"/>
        <w:gridCol w:w="964"/>
        <w:gridCol w:w="1156"/>
      </w:tblGrid>
      <w:tr>
        <w:tblPrEx>
          <w:tblCellMar>
            <w:top w:w="15" w:type="dxa"/>
            <w:left w:w="15" w:type="dxa"/>
            <w:bottom w:w="15" w:type="dxa"/>
            <w:right w:w="15"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序号</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仿宋_GB2312" w:eastAsia="仿宋_GB2312"/>
                <w:b/>
                <w:sz w:val="30"/>
                <w:szCs w:val="30"/>
              </w:rPr>
              <w:t>产品名称</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rPr>
            </w:pPr>
            <w:r>
              <w:rPr>
                <w:rFonts w:ascii="仿宋_GB2312" w:eastAsia="仿宋_GB2312"/>
                <w:b/>
                <w:sz w:val="30"/>
                <w:szCs w:val="30"/>
              </w:rPr>
              <w:t>主要技术规格</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综合单价/元</w:t>
            </w:r>
          </w:p>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（不含税）</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数量</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总价/元</w:t>
            </w:r>
          </w:p>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（不含税）</w:t>
            </w:r>
          </w:p>
        </w:tc>
        <w:tc>
          <w:tcPr>
            <w:tcW w:w="96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税率</w:t>
            </w:r>
          </w:p>
        </w:tc>
        <w:tc>
          <w:tcPr>
            <w:tcW w:w="115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sz w:val="22"/>
                <w:szCs w:val="22"/>
              </w:rPr>
              <w:t>总价/元</w:t>
            </w:r>
          </w:p>
          <w:p>
            <w:pPr>
              <w:widowControl/>
              <w:jc w:val="center"/>
              <w:textAlignment w:val="center"/>
              <w:rPr>
                <w:rFonts w:ascii="宋体" w:hAnsi="宋体" w:eastAsia="宋体" w:cs="宋体"/>
                <w:sz w:val="22"/>
                <w:szCs w:val="22"/>
              </w:rPr>
            </w:pPr>
            <w:r>
              <w:rPr>
                <w:rFonts w:hint="eastAsia" w:ascii="宋体" w:hAnsi="宋体" w:eastAsia="宋体" w:cs="宋体"/>
                <w:sz w:val="22"/>
                <w:szCs w:val="22"/>
              </w:rPr>
              <w:t>（含税）</w:t>
            </w:r>
          </w:p>
        </w:tc>
      </w:tr>
      <w:tr>
        <w:tblPrEx>
          <w:tblCellMar>
            <w:top w:w="15" w:type="dxa"/>
            <w:left w:w="15" w:type="dxa"/>
            <w:bottom w:w="15" w:type="dxa"/>
            <w:right w:w="15" w:type="dxa"/>
          </w:tblCellMar>
        </w:tblPrEx>
        <w:trPr>
          <w:trHeight w:val="7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Theme="minorEastAsia" w:hAnsiTheme="minorEastAsia"/>
                <w:sz w:val="22"/>
                <w:szCs w:val="22"/>
              </w:rPr>
              <w:t>防火门（含五金配件）</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napToGrid w:val="0"/>
              <w:rPr>
                <w:rFonts w:asciiTheme="minorEastAsia" w:hAnsiTheme="minorEastAsia"/>
                <w:sz w:val="22"/>
                <w:szCs w:val="22"/>
              </w:rPr>
            </w:pPr>
            <w:r>
              <w:rPr>
                <w:rFonts w:hint="eastAsia" w:asciiTheme="minorEastAsia" w:hAnsiTheme="minorEastAsia"/>
                <w:sz w:val="22"/>
                <w:szCs w:val="22"/>
              </w:rPr>
              <w:t>甲级钢制防火门（带亮子），</w:t>
            </w:r>
          </w:p>
          <w:p>
            <w:pPr>
              <w:pStyle w:val="3"/>
              <w:snapToGrid w:val="0"/>
              <w:rPr>
                <w:rFonts w:asciiTheme="minorEastAsia" w:hAnsiTheme="minorEastAsia"/>
                <w:sz w:val="22"/>
                <w:szCs w:val="22"/>
              </w:rPr>
            </w:pPr>
            <w:r>
              <w:rPr>
                <w:rFonts w:hint="eastAsia" w:asciiTheme="minorEastAsia" w:hAnsiTheme="minorEastAsia"/>
                <w:sz w:val="22"/>
                <w:szCs w:val="22"/>
              </w:rPr>
              <w:t>耐火性能≥1.5h，</w:t>
            </w:r>
          </w:p>
          <w:p>
            <w:pPr>
              <w:widowControl/>
              <w:jc w:val="left"/>
              <w:textAlignment w:val="center"/>
              <w:rPr>
                <w:rFonts w:ascii="宋体" w:hAnsi="宋体" w:eastAsia="宋体" w:cs="宋体"/>
                <w:kern w:val="0"/>
                <w:sz w:val="22"/>
                <w:szCs w:val="22"/>
              </w:rPr>
            </w:pPr>
            <w:r>
              <w:rPr>
                <w:rFonts w:hint="eastAsia" w:asciiTheme="minorEastAsia" w:hAnsiTheme="minorEastAsia"/>
                <w:sz w:val="22"/>
                <w:szCs w:val="22"/>
              </w:rPr>
              <w:t>防火门总面积约209.5㎡。</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sz w:val="22"/>
                <w:szCs w:val="22"/>
              </w:rPr>
              <w:t>樘</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6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eastAsia="宋体" w:cs="宋体"/>
                <w:sz w:val="22"/>
                <w:szCs w:val="22"/>
              </w:rPr>
            </w:pPr>
          </w:p>
        </w:tc>
        <w:tc>
          <w:tcPr>
            <w:tcW w:w="115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bl>
    <w:p>
      <w:pPr>
        <w:adjustRightInd w:val="0"/>
        <w:snapToGrid w:val="0"/>
        <w:spacing w:line="360" w:lineRule="exact"/>
        <w:ind w:firstLine="442" w:firstLineChars="200"/>
        <w:jc w:val="left"/>
        <w:rPr>
          <w:rFonts w:ascii="宋体" w:hAnsi="宋体"/>
          <w:b/>
          <w:bCs/>
          <w:sz w:val="22"/>
        </w:rPr>
      </w:pPr>
    </w:p>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snapToGrid w:val="0"/>
        <w:spacing w:line="360" w:lineRule="exact"/>
        <w:ind w:firstLine="440" w:firstLineChars="200"/>
        <w:rPr>
          <w:rFonts w:ascii="宋体" w:hAnsi="宋体"/>
          <w:sz w:val="22"/>
        </w:rPr>
      </w:pPr>
      <w:r>
        <w:rPr>
          <w:rFonts w:hint="eastAsia" w:ascii="宋体" w:hAnsi="宋体"/>
          <w:sz w:val="22"/>
        </w:rPr>
        <w:t>本合同价为固定总价，合同金额为（大写）：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元）人民币。 其中采购货物价（不含税）为   元（￥元）人民币，税率   ，税费   元（￥元）人民币。本合同价为杭州萧山国际机场内交货价，含防火门及五金配件价格、运输费、包装费、安装费、原防火门拆除、清运费、门洞修复费、保险费、税费及售后服务等所有费用。甲方不再承担其他任何费用。</w:t>
      </w:r>
    </w:p>
    <w:p>
      <w:pPr>
        <w:snapToGrid w:val="0"/>
        <w:spacing w:line="360" w:lineRule="exact"/>
        <w:ind w:firstLine="440" w:firstLineChars="200"/>
        <w:rPr>
          <w:rFonts w:ascii="宋体" w:hAnsi="宋体"/>
          <w:b/>
          <w:sz w:val="22"/>
        </w:rPr>
      </w:pPr>
      <w:r>
        <w:rPr>
          <w:rFonts w:hint="eastAsia" w:ascii="宋体" w:hAnsi="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76" w:name="_Toc422638512"/>
      <w:r>
        <w:rPr>
          <w:rFonts w:hint="eastAsia" w:ascii="宋体" w:hAnsi="宋体"/>
          <w:b/>
          <w:sz w:val="22"/>
        </w:rPr>
        <w:t>六、转包或分包</w:t>
      </w:r>
      <w:bookmarkEnd w:id="76"/>
    </w:p>
    <w:p>
      <w:pPr>
        <w:adjustRightInd w:val="0"/>
        <w:snapToGrid w:val="0"/>
        <w:spacing w:line="360" w:lineRule="exact"/>
        <w:ind w:firstLine="440" w:firstLineChars="200"/>
        <w:rPr>
          <w:rFonts w:ascii="宋体" w:hAnsi="宋体"/>
          <w:sz w:val="22"/>
        </w:rPr>
      </w:pPr>
      <w:r>
        <w:rPr>
          <w:rFonts w:hint="eastAsia" w:ascii="宋体" w:hAnsi="宋体"/>
          <w:sz w:val="22"/>
        </w:rPr>
        <w:t>1.本合同项下甲方采购的产品，必须由乙方直接供应；除非得到甲方的书面同意，乙方不得将本合同项下的产品或服务的全部或部分分包给第三方供应，不得将本合同项下权利义务转让给第三方。</w:t>
      </w:r>
    </w:p>
    <w:p>
      <w:pPr>
        <w:adjustRightInd w:val="0"/>
        <w:snapToGrid w:val="0"/>
        <w:spacing w:line="360" w:lineRule="exact"/>
        <w:ind w:firstLine="440" w:firstLineChars="200"/>
        <w:rPr>
          <w:rFonts w:ascii="宋体" w:hAnsi="宋体"/>
          <w:sz w:val="22"/>
        </w:rPr>
      </w:pPr>
      <w:r>
        <w:rPr>
          <w:rFonts w:hint="eastAsia" w:ascii="宋体" w:hAnsi="宋体"/>
          <w:sz w:val="22"/>
        </w:rPr>
        <w:t>2.如有未经甲方书面同意的转让和分包行为，甲方有权解除合同，并有权要求乙方承担合同总金额【15%】的违约金。</w:t>
      </w:r>
    </w:p>
    <w:p>
      <w:pPr>
        <w:adjustRightInd w:val="0"/>
        <w:snapToGrid w:val="0"/>
        <w:spacing w:line="360" w:lineRule="exact"/>
        <w:ind w:firstLine="442" w:firstLineChars="200"/>
        <w:outlineLvl w:val="0"/>
        <w:rPr>
          <w:rFonts w:ascii="宋体" w:hAnsi="宋体"/>
          <w:b/>
          <w:sz w:val="22"/>
        </w:rPr>
      </w:pPr>
      <w:bookmarkStart w:id="77" w:name="_Toc422638513"/>
      <w:r>
        <w:rPr>
          <w:rFonts w:hint="eastAsia" w:ascii="宋体" w:hAnsi="宋体"/>
          <w:b/>
          <w:sz w:val="22"/>
        </w:rPr>
        <w:t>七、货物包装、发运及运输</w:t>
      </w:r>
      <w:bookmarkEnd w:id="77"/>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bookmarkStart w:id="78" w:name="_Toc422638514"/>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78"/>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w:t>
      </w:r>
      <w:r>
        <w:rPr>
          <w:rFonts w:ascii="宋体" w:hAnsi="宋体"/>
          <w:sz w:val="22"/>
        </w:rPr>
        <w:t>供货期</w:t>
      </w:r>
      <w:r>
        <w:rPr>
          <w:rFonts w:hint="eastAsia" w:ascii="宋体" w:hAnsi="宋体"/>
          <w:sz w:val="22"/>
        </w:rPr>
        <w:t>：合同签订后</w:t>
      </w:r>
      <w:r>
        <w:rPr>
          <w:rFonts w:hint="eastAsia" w:ascii="宋体" w:hAnsi="宋体"/>
          <w:sz w:val="22"/>
          <w:u w:val="single"/>
        </w:rPr>
        <w:t>60</w:t>
      </w:r>
      <w:r>
        <w:rPr>
          <w:rFonts w:hint="eastAsia" w:ascii="宋体" w:hAnsi="宋体"/>
          <w:sz w:val="22"/>
        </w:rPr>
        <w:t>个日历天内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交货地点：杭州萧山国际机场内</w:t>
      </w:r>
    </w:p>
    <w:p>
      <w:pPr>
        <w:adjustRightInd w:val="0"/>
        <w:snapToGrid w:val="0"/>
        <w:spacing w:line="360" w:lineRule="exact"/>
        <w:ind w:firstLine="442" w:firstLineChars="200"/>
        <w:outlineLvl w:val="0"/>
        <w:rPr>
          <w:rFonts w:ascii="宋体" w:hAnsi="宋体"/>
          <w:b/>
          <w:sz w:val="22"/>
        </w:rPr>
      </w:pPr>
      <w:bookmarkStart w:id="79" w:name="_Toc422638515"/>
      <w:r>
        <w:rPr>
          <w:rFonts w:hint="eastAsia" w:ascii="宋体" w:hAnsi="宋体"/>
          <w:b/>
          <w:sz w:val="22"/>
        </w:rPr>
        <w:t>九、验收</w:t>
      </w:r>
      <w:bookmarkEnd w:id="79"/>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甲方对乙方提交的货物依据甲方要求和国家有关质量标准进行现场验收，</w:t>
      </w:r>
      <w:r>
        <w:rPr>
          <w:rFonts w:hint="eastAsia"/>
          <w:sz w:val="22"/>
          <w:szCs w:val="22"/>
        </w:rPr>
        <w:t>防火门及五金配件的型号、规格、数量及安装质量</w:t>
      </w:r>
      <w:r>
        <w:rPr>
          <w:rFonts w:hint="eastAsia" w:ascii="宋体" w:hAnsi="宋体"/>
          <w:sz w:val="22"/>
        </w:rPr>
        <w:t>符合甲方要求的，乙方</w:t>
      </w:r>
      <w:r>
        <w:rPr>
          <w:rFonts w:hint="eastAsia"/>
          <w:sz w:val="22"/>
          <w:szCs w:val="22"/>
        </w:rPr>
        <w:t>已完成原防火门的清运处理及门洞修复工作</w:t>
      </w:r>
      <w:r>
        <w:rPr>
          <w:rFonts w:hint="eastAsia" w:ascii="宋体" w:hAnsi="宋体"/>
          <w:sz w:val="22"/>
        </w:rPr>
        <w:t>给予验收。</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42" w:firstLineChars="200"/>
        <w:outlineLvl w:val="0"/>
        <w:rPr>
          <w:rFonts w:ascii="宋体" w:hAnsi="宋体"/>
          <w:b/>
          <w:sz w:val="22"/>
        </w:rPr>
      </w:pPr>
      <w:bookmarkStart w:id="80" w:name="_Toc422638516"/>
      <w:r>
        <w:rPr>
          <w:rFonts w:hint="eastAsia" w:ascii="宋体" w:hAnsi="宋体"/>
          <w:b/>
          <w:sz w:val="22"/>
        </w:rPr>
        <w:t>十、货款支付</w:t>
      </w:r>
      <w:bookmarkEnd w:id="80"/>
    </w:p>
    <w:p>
      <w:pPr>
        <w:pStyle w:val="11"/>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1</w:t>
      </w:r>
      <w:r>
        <w:rPr>
          <w:rFonts w:hint="eastAsia" w:ascii="宋体" w:hAnsi="宋体" w:eastAsia="宋体"/>
          <w:color w:val="auto"/>
          <w:sz w:val="22"/>
          <w:szCs w:val="22"/>
        </w:rPr>
        <w:t>.甲方收货验收合格并收到乙方合同全额增值税专用发票后【15】个工作日内，支付至合同总金额的95%.</w:t>
      </w:r>
    </w:p>
    <w:p>
      <w:pPr>
        <w:adjustRightInd w:val="0"/>
        <w:snapToGrid w:val="0"/>
        <w:spacing w:line="360" w:lineRule="exact"/>
        <w:ind w:firstLine="440"/>
        <w:rPr>
          <w:rFonts w:cs="Calibri" w:asciiTheme="minorEastAsia" w:hAnsiTheme="minorEastAsia"/>
          <w:sz w:val="22"/>
        </w:rPr>
      </w:pPr>
      <w:r>
        <w:rPr>
          <w:rFonts w:hint="eastAsia" w:ascii="宋体" w:hAnsi="宋体" w:eastAsia="宋体"/>
          <w:b/>
          <w:sz w:val="22"/>
          <w:szCs w:val="22"/>
        </w:rPr>
        <w:t>2.</w:t>
      </w:r>
      <w:r>
        <w:rPr>
          <w:rFonts w:hint="eastAsia" w:ascii="宋体" w:hAnsi="宋体" w:eastAsia="宋体"/>
          <w:sz w:val="22"/>
          <w:szCs w:val="22"/>
        </w:rPr>
        <w:t>质量保证金为合同总价5</w:t>
      </w:r>
      <w:r>
        <w:rPr>
          <w:rFonts w:ascii="宋体" w:hAnsi="宋体" w:eastAsia="宋体"/>
          <w:sz w:val="22"/>
          <w:szCs w:val="22"/>
        </w:rPr>
        <w:t>%，</w:t>
      </w:r>
      <w:r>
        <w:rPr>
          <w:rFonts w:hint="eastAsia" w:ascii="宋体" w:hAnsi="宋体" w:eastAsia="宋体"/>
          <w:sz w:val="22"/>
          <w:szCs w:val="22"/>
        </w:rPr>
        <w:t>如无产品质量问题，质量保证金</w:t>
      </w:r>
      <w:r>
        <w:rPr>
          <w:rFonts w:hint="eastAsia" w:cs="Calibri" w:asciiTheme="minorEastAsia" w:hAnsiTheme="minorEastAsia"/>
          <w:sz w:val="22"/>
        </w:rPr>
        <w:t>在产品验收合格日起计算满2年后【15】个工作日内无息支付。</w:t>
      </w:r>
    </w:p>
    <w:p>
      <w:pPr>
        <w:adjustRightInd w:val="0"/>
        <w:snapToGrid w:val="0"/>
        <w:spacing w:line="360" w:lineRule="exact"/>
        <w:ind w:firstLine="440"/>
        <w:rPr>
          <w:rFonts w:cs="Calibri" w:asciiTheme="minorEastAsia" w:hAnsiTheme="minorEastAsia"/>
          <w:b/>
          <w:bCs/>
          <w:sz w:val="22"/>
          <w:lang w:val="zh-CN"/>
        </w:rPr>
      </w:pPr>
      <w:r>
        <w:rPr>
          <w:rFonts w:hint="eastAsia" w:cs="Calibri" w:asciiTheme="minorEastAsia" w:hAnsiTheme="minorEastAsia"/>
          <w:b/>
          <w:bCs/>
          <w:sz w:val="22"/>
        </w:rPr>
        <w:t>十一、</w:t>
      </w:r>
      <w:r>
        <w:rPr>
          <w:rFonts w:hint="eastAsia" w:cs="Calibri" w:asciiTheme="minorEastAsia" w:hAnsiTheme="minorEastAsia"/>
          <w:b/>
          <w:bCs/>
          <w:sz w:val="22"/>
          <w:lang w:val="zh-CN"/>
        </w:rPr>
        <w:t>履约保证金</w:t>
      </w:r>
    </w:p>
    <w:p>
      <w:pPr>
        <w:adjustRightInd w:val="0"/>
        <w:snapToGrid w:val="0"/>
        <w:spacing w:line="360" w:lineRule="exact"/>
        <w:ind w:firstLine="440"/>
        <w:rPr>
          <w:rFonts w:cs="Calibri" w:asciiTheme="minorEastAsia" w:hAnsiTheme="minorEastAsia"/>
          <w:sz w:val="22"/>
        </w:rPr>
      </w:pPr>
      <w:r>
        <w:rPr>
          <w:rFonts w:hint="eastAsia" w:cs="Calibri" w:asciiTheme="minorEastAsia" w:hAnsiTheme="minorEastAsia"/>
          <w:sz w:val="22"/>
        </w:rPr>
        <w:t>1．甲方发出中标通知书后【10】日内，乙方</w:t>
      </w:r>
      <w:r>
        <w:rPr>
          <w:rFonts w:cs="Calibri" w:asciiTheme="minorEastAsia" w:hAnsiTheme="minorEastAsia"/>
          <w:sz w:val="22"/>
        </w:rPr>
        <w:t>应</w:t>
      </w:r>
      <w:r>
        <w:rPr>
          <w:rFonts w:hint="eastAsia" w:cs="Calibri" w:asciiTheme="minorEastAsia" w:hAnsiTheme="minorEastAsia"/>
          <w:sz w:val="22"/>
        </w:rPr>
        <w:t>向甲方支付合同总价的【</w:t>
      </w:r>
      <w:r>
        <w:rPr>
          <w:rFonts w:hint="eastAsia" w:ascii="宋体" w:hAnsi="宋体" w:eastAsia="宋体"/>
          <w:sz w:val="22"/>
          <w:szCs w:val="22"/>
        </w:rPr>
        <w:t>10%</w:t>
      </w:r>
      <w:r>
        <w:rPr>
          <w:rFonts w:hint="eastAsia" w:cs="Calibri" w:asciiTheme="minorEastAsia" w:hAnsiTheme="minorEastAsia"/>
          <w:sz w:val="22"/>
        </w:rPr>
        <w:t>】作为履约保证金。如果逾期未缴纳，甲方有权解除本合同，并要求乙方承担由此给甲方造成的损失。</w:t>
      </w:r>
    </w:p>
    <w:p>
      <w:pPr>
        <w:adjustRightInd w:val="0"/>
        <w:snapToGrid w:val="0"/>
        <w:spacing w:line="360" w:lineRule="exact"/>
        <w:ind w:firstLine="440"/>
        <w:rPr>
          <w:rFonts w:cs="Calibri" w:asciiTheme="minorEastAsia" w:hAnsiTheme="minorEastAsia"/>
          <w:sz w:val="22"/>
        </w:rPr>
      </w:pPr>
      <w:r>
        <w:rPr>
          <w:rFonts w:hint="eastAsia" w:cs="Calibri" w:asciiTheme="minorEastAsia" w:hAnsiTheme="minorEastAsia"/>
          <w:sz w:val="22"/>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360" w:lineRule="exact"/>
        <w:ind w:firstLine="442" w:firstLineChars="200"/>
        <w:outlineLvl w:val="0"/>
        <w:rPr>
          <w:rFonts w:ascii="宋体" w:hAnsi="宋体"/>
          <w:b/>
          <w:sz w:val="22"/>
        </w:rPr>
      </w:pPr>
      <w:bookmarkStart w:id="81" w:name="_Toc422638517"/>
      <w:r>
        <w:rPr>
          <w:rFonts w:hint="eastAsia" w:ascii="宋体" w:hAnsi="宋体"/>
          <w:b/>
          <w:sz w:val="22"/>
        </w:rPr>
        <w:t>十二、税费</w:t>
      </w:r>
      <w:bookmarkEnd w:id="81"/>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snapToGrid w:val="0"/>
        <w:spacing w:line="360" w:lineRule="exact"/>
        <w:ind w:firstLine="442" w:firstLineChars="200"/>
        <w:rPr>
          <w:rFonts w:ascii="宋体" w:hAnsi="宋体"/>
          <w:b/>
          <w:bCs/>
          <w:sz w:val="22"/>
        </w:rPr>
      </w:pPr>
      <w:r>
        <w:rPr>
          <w:rFonts w:hint="eastAsia" w:ascii="宋体" w:hAnsi="宋体"/>
          <w:b/>
          <w:bCs/>
          <w:sz w:val="22"/>
        </w:rPr>
        <w:t>十四、违约责任</w:t>
      </w:r>
    </w:p>
    <w:p>
      <w:pPr>
        <w:snapToGrid w:val="0"/>
        <w:spacing w:line="360" w:lineRule="exact"/>
        <w:ind w:firstLine="440" w:firstLineChars="200"/>
        <w:rPr>
          <w:rFonts w:ascii="宋体" w:hAnsi="宋体"/>
          <w:sz w:val="22"/>
        </w:rPr>
      </w:pPr>
      <w:r>
        <w:rPr>
          <w:rFonts w:hint="eastAsia" w:ascii="宋体" w:hAnsi="宋体"/>
          <w:sz w:val="22"/>
        </w:rPr>
        <w:t>1. 甲方无故逾期支付货款的,甲方应按逾期付款总额每日【0.05】%向乙方支付违约金。</w:t>
      </w:r>
    </w:p>
    <w:p>
      <w:pPr>
        <w:snapToGrid w:val="0"/>
        <w:spacing w:line="360" w:lineRule="exact"/>
        <w:ind w:firstLine="440" w:firstLineChars="200"/>
        <w:rPr>
          <w:rFonts w:ascii="宋体" w:hAnsi="宋体"/>
          <w:sz w:val="22"/>
        </w:rPr>
      </w:pPr>
      <w:r>
        <w:rPr>
          <w:rFonts w:hint="eastAsia" w:ascii="宋体" w:hAnsi="宋体"/>
          <w:sz w:val="22"/>
        </w:rPr>
        <w:t xml:space="preserve">2. 乙方逾期交付产品和本合同规定的文件资料的，或者未按甲方时间要求完成安装调试并通过甲方终验收的，乙方应按合同总额每日【0.6】%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snapToGrid w:val="0"/>
        <w:spacing w:line="360" w:lineRule="exact"/>
        <w:ind w:firstLine="440" w:firstLineChars="200"/>
        <w:rPr>
          <w:rFonts w:ascii="宋体" w:hAnsi="宋体"/>
          <w:sz w:val="22"/>
        </w:rPr>
      </w:pPr>
      <w:r>
        <w:rPr>
          <w:rFonts w:hint="eastAsia" w:ascii="宋体" w:hAnsi="宋体"/>
          <w:sz w:val="22"/>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snapToGrid w:val="0"/>
        <w:spacing w:line="360" w:lineRule="exact"/>
        <w:ind w:firstLine="440" w:firstLineChars="200"/>
        <w:rPr>
          <w:rFonts w:ascii="宋体" w:hAnsi="宋体"/>
          <w:sz w:val="22"/>
        </w:rPr>
      </w:pPr>
      <w:r>
        <w:rPr>
          <w:rFonts w:hint="eastAsia" w:ascii="宋体" w:hAnsi="宋体"/>
          <w:sz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napToGrid w:val="0"/>
        <w:spacing w:line="360" w:lineRule="exact"/>
        <w:ind w:firstLine="440" w:firstLineChars="200"/>
        <w:rPr>
          <w:rFonts w:ascii="宋体" w:hAnsi="宋体"/>
          <w:sz w:val="22"/>
        </w:rPr>
      </w:pPr>
      <w:r>
        <w:rPr>
          <w:rFonts w:hint="eastAsia" w:ascii="宋体" w:hAnsi="宋体"/>
          <w:sz w:val="22"/>
        </w:rPr>
        <w:t>5. 乙方不在约定期限内派人维修或维修质量验收不合格的，甲方可以委托他人修理，费用由乙方承担，甲方与第三方确认后可直接从质保金中扣除；履约保证金不足以抵扣的，继续向乙方追偿。</w:t>
      </w:r>
    </w:p>
    <w:p>
      <w:pPr>
        <w:snapToGrid w:val="0"/>
        <w:spacing w:line="360" w:lineRule="exact"/>
        <w:ind w:firstLine="440" w:firstLineChars="200"/>
        <w:rPr>
          <w:rFonts w:ascii="宋体" w:hAnsi="宋体"/>
          <w:sz w:val="22"/>
        </w:rPr>
      </w:pPr>
      <w:r>
        <w:rPr>
          <w:rFonts w:hint="eastAsia" w:ascii="宋体" w:hAnsi="宋体"/>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snapToGrid w:val="0"/>
        <w:spacing w:line="360" w:lineRule="exact"/>
        <w:ind w:firstLine="440" w:firstLineChars="200"/>
        <w:rPr>
          <w:rFonts w:ascii="宋体" w:hAnsi="宋体"/>
          <w:sz w:val="22"/>
        </w:rPr>
      </w:pPr>
      <w:r>
        <w:rPr>
          <w:rFonts w:hint="eastAsia" w:ascii="宋体" w:hAnsi="宋体"/>
          <w:sz w:val="22"/>
        </w:rPr>
        <w:t>7．对于本合同项下乙方应支付的赔偿款或违约金，甲方有权从应付乙方的货款及履约保证金中直接扣除，不足的部分，继续向乙方追偿。</w:t>
      </w:r>
    </w:p>
    <w:p>
      <w:pPr>
        <w:snapToGrid w:val="0"/>
        <w:spacing w:line="360" w:lineRule="exact"/>
        <w:ind w:firstLine="442" w:firstLineChars="200"/>
        <w:rPr>
          <w:rFonts w:ascii="宋体" w:hAnsi="宋体"/>
          <w:b/>
          <w:bCs/>
          <w:sz w:val="22"/>
        </w:rPr>
      </w:pPr>
      <w:r>
        <w:rPr>
          <w:rFonts w:hint="eastAsia" w:ascii="宋体" w:hAnsi="宋体"/>
          <w:b/>
          <w:bCs/>
          <w:sz w:val="22"/>
        </w:rPr>
        <w:t>十五、不可抗力事件处理</w:t>
      </w:r>
    </w:p>
    <w:p>
      <w:pPr>
        <w:snapToGrid w:val="0"/>
        <w:spacing w:line="360" w:lineRule="exact"/>
        <w:ind w:firstLine="440" w:firstLineChars="200"/>
        <w:rPr>
          <w:rFonts w:ascii="宋体" w:hAnsi="宋体"/>
          <w:sz w:val="22"/>
        </w:rPr>
      </w:pPr>
      <w:r>
        <w:rPr>
          <w:rFonts w:hint="eastAsia" w:ascii="宋体" w:hAnsi="宋体"/>
          <w:sz w:val="22"/>
        </w:rPr>
        <w:t>1. 在合同有效期内，任何一方因不可抗力事件导致不能履行合同，则合同履行期可延长，其延长期与不可抗力影响期相同。</w:t>
      </w:r>
    </w:p>
    <w:p>
      <w:pPr>
        <w:snapToGrid w:val="0"/>
        <w:spacing w:line="360" w:lineRule="exact"/>
        <w:ind w:firstLine="440" w:firstLineChars="200"/>
        <w:rPr>
          <w:rFonts w:ascii="宋体" w:hAnsi="宋体"/>
          <w:sz w:val="22"/>
        </w:rPr>
      </w:pPr>
      <w:r>
        <w:rPr>
          <w:rFonts w:hint="eastAsia" w:ascii="宋体" w:hAnsi="宋体"/>
          <w:sz w:val="22"/>
        </w:rPr>
        <w:t>2. 不可抗力事件发生后，遭遇不可抗力的一方应立即通知对方，并寄送有关官方权威机构出具的证明。</w:t>
      </w:r>
    </w:p>
    <w:p>
      <w:pPr>
        <w:snapToGrid w:val="0"/>
        <w:spacing w:line="360" w:lineRule="exact"/>
        <w:ind w:firstLine="440" w:firstLineChars="200"/>
        <w:rPr>
          <w:rFonts w:ascii="宋体" w:hAnsi="宋体"/>
          <w:sz w:val="22"/>
        </w:rPr>
      </w:pPr>
      <w:r>
        <w:rPr>
          <w:rFonts w:hint="eastAsia" w:ascii="宋体" w:hAnsi="宋体"/>
          <w:sz w:val="22"/>
        </w:rPr>
        <w:t>3. 不可抗力事件延续【30】天以上，双方应通过友好协商，确定是否继续履行合同；协商无法达成一致的，本合同自动终止，双方互不承担赔偿或违约责任。</w:t>
      </w:r>
    </w:p>
    <w:p>
      <w:pPr>
        <w:snapToGrid w:val="0"/>
        <w:spacing w:line="360" w:lineRule="exact"/>
        <w:ind w:firstLine="442" w:firstLineChars="200"/>
        <w:rPr>
          <w:rFonts w:ascii="宋体" w:hAnsi="宋体"/>
          <w:b/>
          <w:bCs/>
          <w:sz w:val="22"/>
        </w:rPr>
      </w:pPr>
      <w:r>
        <w:rPr>
          <w:rFonts w:hint="eastAsia" w:ascii="宋体" w:hAnsi="宋体"/>
          <w:b/>
          <w:bCs/>
          <w:sz w:val="22"/>
        </w:rPr>
        <w:t>十六、争议解决</w:t>
      </w:r>
    </w:p>
    <w:p>
      <w:pPr>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outlineLvl w:val="0"/>
        <w:rPr>
          <w:rFonts w:ascii="宋体" w:hAnsi="宋体"/>
          <w:b/>
          <w:sz w:val="22"/>
        </w:rPr>
      </w:pPr>
      <w:bookmarkStart w:id="82" w:name="_Toc422638521"/>
      <w:r>
        <w:rPr>
          <w:rFonts w:hint="eastAsia" w:ascii="宋体" w:hAnsi="宋体"/>
          <w:b/>
          <w:sz w:val="22"/>
        </w:rPr>
        <w:t>十七、合同组成文件包含下列内容，且解释顺序如下：</w:t>
      </w:r>
    </w:p>
    <w:p>
      <w:pPr>
        <w:adjustRightInd w:val="0"/>
        <w:snapToGrid w:val="0"/>
        <w:spacing w:line="360" w:lineRule="exact"/>
        <w:ind w:firstLine="440" w:firstLineChars="200"/>
        <w:outlineLvl w:val="0"/>
        <w:rPr>
          <w:rFonts w:ascii="宋体" w:hAnsi="宋体"/>
          <w:bCs/>
          <w:sz w:val="22"/>
        </w:rPr>
      </w:pPr>
      <w:r>
        <w:rPr>
          <w:rFonts w:hint="eastAsia" w:ascii="宋体" w:hAnsi="宋体"/>
          <w:bCs/>
          <w:sz w:val="22"/>
        </w:rPr>
        <w:t>1.本合同协议书</w:t>
      </w:r>
    </w:p>
    <w:p>
      <w:pPr>
        <w:adjustRightInd w:val="0"/>
        <w:snapToGrid w:val="0"/>
        <w:spacing w:line="360" w:lineRule="exact"/>
        <w:ind w:firstLine="440" w:firstLineChars="200"/>
        <w:outlineLvl w:val="0"/>
        <w:rPr>
          <w:rFonts w:ascii="宋体" w:hAnsi="宋体"/>
          <w:bCs/>
          <w:sz w:val="22"/>
        </w:rPr>
      </w:pPr>
      <w:r>
        <w:rPr>
          <w:rFonts w:hint="eastAsia" w:ascii="宋体" w:hAnsi="宋体"/>
          <w:bCs/>
          <w:sz w:val="22"/>
        </w:rPr>
        <w:t>2.中标通知书</w:t>
      </w:r>
    </w:p>
    <w:p>
      <w:pPr>
        <w:adjustRightInd w:val="0"/>
        <w:snapToGrid w:val="0"/>
        <w:spacing w:line="360" w:lineRule="exact"/>
        <w:ind w:firstLine="440" w:firstLineChars="200"/>
        <w:outlineLvl w:val="0"/>
        <w:rPr>
          <w:rFonts w:ascii="宋体" w:hAnsi="宋体"/>
          <w:bCs/>
          <w:sz w:val="22"/>
        </w:rPr>
      </w:pPr>
      <w:r>
        <w:rPr>
          <w:rFonts w:hint="eastAsia" w:ascii="宋体" w:hAnsi="宋体"/>
          <w:bCs/>
          <w:sz w:val="22"/>
        </w:rPr>
        <w:t>3.招标文件</w:t>
      </w:r>
    </w:p>
    <w:p>
      <w:pPr>
        <w:adjustRightInd w:val="0"/>
        <w:snapToGrid w:val="0"/>
        <w:spacing w:line="360" w:lineRule="exact"/>
        <w:ind w:firstLine="440" w:firstLineChars="200"/>
        <w:outlineLvl w:val="0"/>
        <w:rPr>
          <w:rFonts w:ascii="宋体" w:hAnsi="宋体"/>
          <w:bCs/>
          <w:sz w:val="22"/>
        </w:rPr>
      </w:pPr>
      <w:r>
        <w:rPr>
          <w:rFonts w:hint="eastAsia" w:ascii="宋体" w:hAnsi="宋体"/>
          <w:bCs/>
          <w:sz w:val="22"/>
        </w:rPr>
        <w:t>4.投标书及其附件</w:t>
      </w:r>
    </w:p>
    <w:p>
      <w:pPr>
        <w:adjustRightInd w:val="0"/>
        <w:snapToGrid w:val="0"/>
        <w:spacing w:line="360" w:lineRule="exact"/>
        <w:ind w:firstLine="440" w:firstLineChars="200"/>
        <w:outlineLvl w:val="0"/>
        <w:rPr>
          <w:rFonts w:ascii="宋体" w:hAnsi="宋体"/>
          <w:bCs/>
          <w:sz w:val="22"/>
        </w:rPr>
      </w:pPr>
      <w:r>
        <w:rPr>
          <w:rFonts w:hint="eastAsia" w:ascii="宋体" w:hAnsi="宋体"/>
          <w:bCs/>
          <w:sz w:val="22"/>
        </w:rPr>
        <w:t>5.标准、规范及有关技术文件</w:t>
      </w:r>
    </w:p>
    <w:bookmarkEnd w:id="82"/>
    <w:p>
      <w:pPr>
        <w:tabs>
          <w:tab w:val="right" w:pos="8306"/>
        </w:tabs>
        <w:adjustRightInd w:val="0"/>
        <w:snapToGrid w:val="0"/>
        <w:spacing w:line="360" w:lineRule="exact"/>
        <w:ind w:firstLine="442" w:firstLineChars="200"/>
        <w:jc w:val="left"/>
        <w:rPr>
          <w:rFonts w:ascii="宋体" w:hAnsi="宋体"/>
          <w:b/>
          <w:bCs/>
          <w:sz w:val="22"/>
        </w:rPr>
      </w:pPr>
      <w:r>
        <w:rPr>
          <w:rFonts w:hint="eastAsia" w:ascii="宋体" w:hAnsi="宋体"/>
          <w:b/>
          <w:bCs/>
          <w:sz w:val="22"/>
        </w:rPr>
        <w:t>十八、合同生效及其它</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1. 合同经双方法定代表人或授权代表签字并加盖单位公章或者合同章之日起生效。</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2.本合同未尽事宜，双方可签订补充协议予以执行；未达成补充协议的，遵照《合同法》及有关法律法规执行。</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3.本合同一式陆份，甲执四份，乙方持二份，具有同等法律效力。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pStyle w:val="13"/>
        <w:rPr>
          <w:rFonts w:ascii="宋体" w:hAnsi="宋体" w:eastAsiaTheme="minorEastAsia" w:cstheme="minorBidi"/>
          <w:kern w:val="2"/>
        </w:rPr>
      </w:pPr>
      <w:r>
        <w:rPr>
          <w:rFonts w:ascii="宋体" w:hAnsi="宋体"/>
          <w:sz w:val="22"/>
          <w:szCs w:val="22"/>
        </w:rPr>
        <w:br w:type="page"/>
      </w:r>
      <w:bookmarkStart w:id="83" w:name="_Toc206217401"/>
      <w:bookmarkStart w:id="84" w:name="_Toc90452722"/>
      <w:r>
        <w:rPr>
          <w:rFonts w:hint="eastAsia" w:ascii="宋体" w:hAnsi="宋体" w:eastAsiaTheme="minorEastAsia" w:cstheme="minorBidi"/>
          <w:kern w:val="2"/>
        </w:rPr>
        <w:t>杭州萧山国际机场有限公司廉洁自律承诺书</w:t>
      </w:r>
    </w:p>
    <w:p>
      <w:pPr>
        <w:pStyle w:val="13"/>
        <w:jc w:val="left"/>
        <w:rPr>
          <w:rFonts w:ascii="宋体" w:hAnsi="宋体"/>
          <w:b w:val="0"/>
          <w:bCs w:val="0"/>
          <w:sz w:val="22"/>
          <w:szCs w:val="22"/>
        </w:rPr>
      </w:pPr>
    </w:p>
    <w:p>
      <w:pPr>
        <w:pStyle w:val="21"/>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21"/>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21"/>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1"/>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21"/>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21"/>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21"/>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21"/>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21"/>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、若发现贵公司有关人员或项目第三方人员有故意设置障碍或推诿刁难我方人员参与正常投标项目建设活动以索要好处等行为，我单位将及时向贵公司纪检监察部门举报，举报电话：0571－86661113。</w:t>
      </w:r>
    </w:p>
    <w:p>
      <w:pPr>
        <w:pStyle w:val="21"/>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21"/>
        <w:numPr>
          <w:ilvl w:val="0"/>
          <w:numId w:val="9"/>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21"/>
        <w:numPr>
          <w:ilvl w:val="0"/>
          <w:numId w:val="9"/>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扣除我方向贵公司缴纳的履约保证金的10%作为违反廉洁自律承诺的违约金。如该违约金不足以弥补贵公司损失的，我单位仍将承担实际损失赔偿责任。</w:t>
      </w:r>
    </w:p>
    <w:p>
      <w:pPr>
        <w:pStyle w:val="21"/>
        <w:numPr>
          <w:ilvl w:val="0"/>
          <w:numId w:val="9"/>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21"/>
        <w:numPr>
          <w:ilvl w:val="0"/>
          <w:numId w:val="9"/>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21"/>
        <w:adjustRightInd w:val="0"/>
        <w:snapToGrid w:val="0"/>
        <w:ind w:firstLine="480"/>
        <w:jc w:val="left"/>
        <w:rPr>
          <w:rFonts w:ascii="宋体" w:hAnsi="宋体"/>
          <w:sz w:val="24"/>
          <w:szCs w:val="24"/>
        </w:rPr>
      </w:pPr>
    </w:p>
    <w:p>
      <w:pPr>
        <w:pStyle w:val="21"/>
        <w:adjustRightInd w:val="0"/>
        <w:snapToGrid w:val="0"/>
        <w:ind w:firstLine="480"/>
        <w:jc w:val="left"/>
        <w:rPr>
          <w:rFonts w:ascii="宋体" w:hAnsi="宋体"/>
          <w:sz w:val="24"/>
          <w:szCs w:val="24"/>
        </w:rPr>
      </w:pPr>
      <w:r>
        <w:rPr>
          <w:rFonts w:hint="eastAsia" w:ascii="宋体" w:hAnsi="宋体"/>
          <w:sz w:val="24"/>
          <w:szCs w:val="24"/>
        </w:rPr>
        <w:t xml:space="preserve">承诺人单位名称（盖章）：            </w:t>
      </w:r>
    </w:p>
    <w:p>
      <w:pPr>
        <w:pStyle w:val="21"/>
        <w:adjustRightInd w:val="0"/>
        <w:snapToGrid w:val="0"/>
        <w:ind w:firstLine="480"/>
        <w:jc w:val="left"/>
        <w:rPr>
          <w:rFonts w:ascii="宋体" w:hAnsi="宋体"/>
          <w:sz w:val="24"/>
          <w:szCs w:val="24"/>
        </w:rPr>
      </w:pPr>
      <w:r>
        <w:rPr>
          <w:rFonts w:hint="eastAsia" w:ascii="宋体" w:hAnsi="宋体"/>
          <w:sz w:val="24"/>
          <w:szCs w:val="24"/>
        </w:rPr>
        <w:t xml:space="preserve">法定代表人 ：                    </w:t>
      </w:r>
    </w:p>
    <w:p>
      <w:pPr>
        <w:pStyle w:val="21"/>
        <w:adjustRightInd w:val="0"/>
        <w:snapToGrid w:val="0"/>
        <w:ind w:firstLine="480"/>
        <w:jc w:val="left"/>
        <w:rPr>
          <w:rFonts w:ascii="宋体" w:hAnsi="宋体"/>
          <w:sz w:val="24"/>
          <w:szCs w:val="24"/>
        </w:rPr>
      </w:pPr>
      <w:r>
        <w:rPr>
          <w:rFonts w:hint="eastAsia" w:ascii="宋体" w:hAnsi="宋体"/>
          <w:sz w:val="24"/>
          <w:szCs w:val="24"/>
        </w:rPr>
        <w:t xml:space="preserve">或                            </w:t>
      </w:r>
    </w:p>
    <w:p>
      <w:pPr>
        <w:pStyle w:val="21"/>
        <w:adjustRightInd w:val="0"/>
        <w:snapToGrid w:val="0"/>
        <w:ind w:firstLine="480"/>
        <w:jc w:val="left"/>
        <w:rPr>
          <w:rFonts w:ascii="宋体" w:hAnsi="宋体"/>
          <w:sz w:val="24"/>
          <w:szCs w:val="24"/>
        </w:rPr>
      </w:pPr>
      <w:r>
        <w:rPr>
          <w:rFonts w:hint="eastAsia" w:ascii="宋体" w:hAnsi="宋体"/>
          <w:sz w:val="24"/>
          <w:szCs w:val="24"/>
        </w:rPr>
        <w:t xml:space="preserve">委托代理人：                   </w:t>
      </w:r>
    </w:p>
    <w:p>
      <w:pPr>
        <w:pStyle w:val="21"/>
        <w:adjustRightInd w:val="0"/>
        <w:snapToGrid w:val="0"/>
        <w:ind w:firstLine="482"/>
        <w:jc w:val="left"/>
        <w:rPr>
          <w:rFonts w:ascii="宋体" w:hAnsi="宋体"/>
          <w:b/>
          <w:sz w:val="24"/>
          <w:szCs w:val="24"/>
        </w:rPr>
      </w:pPr>
    </w:p>
    <w:p>
      <w:pPr>
        <w:pStyle w:val="13"/>
        <w:rPr>
          <w:rFonts w:ascii="宋体" w:hAnsi="宋体"/>
          <w:sz w:val="24"/>
          <w:szCs w:val="24"/>
        </w:rPr>
        <w:sectPr>
          <w:pgSz w:w="11906" w:h="16838"/>
          <w:pgMar w:top="1134" w:right="1247" w:bottom="1134" w:left="1247" w:header="851" w:footer="992" w:gutter="0"/>
          <w:pgNumType w:fmt="numberInDash"/>
          <w:cols w:space="720" w:num="1"/>
          <w:docGrid w:linePitch="312" w:charSpace="0"/>
        </w:sectPr>
      </w:pPr>
      <w:r>
        <w:rPr>
          <w:rFonts w:hint="eastAsia" w:ascii="宋体" w:hAnsi="宋体"/>
          <w:sz w:val="24"/>
          <w:szCs w:val="24"/>
        </w:rPr>
        <w:t xml:space="preserve">                           年     月     日</w:t>
      </w:r>
    </w:p>
    <w:p>
      <w:pPr>
        <w:adjustRightInd w:val="0"/>
        <w:snapToGrid w:val="0"/>
        <w:spacing w:line="560" w:lineRule="exact"/>
        <w:ind w:firstLine="442" w:firstLineChars="200"/>
        <w:rPr>
          <w:rFonts w:asciiTheme="minorEastAsia" w:hAnsiTheme="minorEastAsia"/>
          <w:b/>
          <w:bCs/>
          <w:color w:val="000000" w:themeColor="text1"/>
          <w:sz w:val="22"/>
          <w14:textFill>
            <w14:solidFill>
              <w14:schemeClr w14:val="tx1"/>
            </w14:solidFill>
          </w14:textFill>
        </w:rPr>
      </w:pPr>
      <w:r>
        <w:rPr>
          <w:rFonts w:hint="eastAsia" w:asciiTheme="minorEastAsia" w:hAnsiTheme="minorEastAsia"/>
          <w:b/>
          <w:bCs/>
          <w:color w:val="000000" w:themeColor="text1"/>
          <w:sz w:val="22"/>
          <w14:textFill>
            <w14:solidFill>
              <w14:schemeClr w14:val="tx1"/>
            </w14:solidFill>
          </w14:textFill>
        </w:rPr>
        <w:t>附件2：保密承诺书</w:t>
      </w:r>
    </w:p>
    <w:p>
      <w:pPr>
        <w:adjustRightInd w:val="0"/>
        <w:snapToGrid w:val="0"/>
        <w:spacing w:line="560" w:lineRule="exact"/>
        <w:ind w:firstLine="643" w:firstLineChars="200"/>
        <w:jc w:val="center"/>
        <w:rPr>
          <w:rFonts w:ascii="宋体" w:hAnsi="宋体"/>
          <w:b/>
          <w:bCs/>
          <w:sz w:val="32"/>
          <w:szCs w:val="32"/>
        </w:rPr>
      </w:pPr>
      <w:r>
        <w:rPr>
          <w:rFonts w:hint="eastAsia" w:ascii="宋体" w:hAnsi="宋体"/>
          <w:b/>
          <w:bCs/>
          <w:sz w:val="32"/>
          <w:szCs w:val="32"/>
        </w:rPr>
        <w:t>保密承诺书</w:t>
      </w:r>
    </w:p>
    <w:p>
      <w:pPr>
        <w:adjustRightInd w:val="0"/>
        <w:snapToGrid w:val="0"/>
        <w:spacing w:line="560" w:lineRule="exact"/>
        <w:ind w:firstLine="440" w:firstLineChars="200"/>
        <w:jc w:val="center"/>
        <w:rPr>
          <w:rFonts w:asciiTheme="minorEastAsia" w:hAnsiTheme="minorEastAsia"/>
          <w:color w:val="000000" w:themeColor="text1"/>
          <w:sz w:val="22"/>
          <w14:textFill>
            <w14:solidFill>
              <w14:schemeClr w14:val="tx1"/>
            </w14:solidFill>
          </w14:textFill>
        </w:rPr>
      </w:pPr>
    </w:p>
    <w:p>
      <w:pPr>
        <w:spacing w:line="360" w:lineRule="auto"/>
        <w:jc w:val="left"/>
        <w:rPr>
          <w:rFonts w:asciiTheme="minorEastAsia" w:hAnsiTheme="minorEastAsia"/>
          <w:sz w:val="22"/>
        </w:rPr>
      </w:pPr>
      <w:r>
        <w:rPr>
          <w:rFonts w:hint="eastAsia" w:asciiTheme="minorEastAsia" w:hAnsiTheme="minorEastAsia"/>
          <w:color w:val="000000" w:themeColor="text1"/>
          <w:sz w:val="22"/>
          <w14:textFill>
            <w14:solidFill>
              <w14:schemeClr w14:val="tx1"/>
            </w14:solidFill>
          </w14:textFill>
        </w:rPr>
        <w:t>鉴于我方愿成为杭州萧山国际机场有限公司（以下简称“机场公司”）的供应商或潜在供应商候选人，为机场公司提</w:t>
      </w:r>
      <w:r>
        <w:rPr>
          <w:rFonts w:hint="eastAsia" w:asciiTheme="minorEastAsia" w:hAnsiTheme="minorEastAsia"/>
          <w:sz w:val="22"/>
        </w:rPr>
        <w:t>供【</w:t>
      </w:r>
      <w:r>
        <w:rPr>
          <w:rFonts w:hint="eastAsia" w:ascii="宋体" w:hAnsi="宋体"/>
          <w:color w:val="000000"/>
          <w:szCs w:val="18"/>
        </w:rPr>
        <w:t>杭州萧山国际机场员工集体宿舍防火门更换项目</w:t>
      </w:r>
      <w:r>
        <w:rPr>
          <w:rFonts w:hint="eastAsia" w:asciiTheme="minorEastAsia" w:hAnsiTheme="minorEastAsia"/>
          <w:sz w:val="22"/>
        </w:rPr>
        <w:t>】的服务。在上述业务来往过程中，机场公司可能向我方</w:t>
      </w:r>
      <w:r>
        <w:rPr>
          <w:rFonts w:hint="eastAsia" w:asciiTheme="minorEastAsia" w:hAnsiTheme="minorEastAsia"/>
          <w:color w:val="000000" w:themeColor="text1"/>
          <w:sz w:val="22"/>
          <w14:textFill>
            <w14:solidFill>
              <w14:schemeClr w14:val="tx1"/>
            </w14:solidFill>
          </w14:textFill>
        </w:rPr>
        <w:t>提供经营、业务、服务等有关的文件、资料、软件等信息，为维护机场公司的利益，我方就保密事宜做出如下承诺：</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1.1商业秘密是指机场公司（包括机场公司关联公司）一切专有、不对外公开的资料和信息。包括但不限于以下方面：</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（1）经营信息（发展规划、运营状况、客户资源、货源情报、投融资计划、开发计划、标书等）；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（2）管理信息（管理方法、管理制度、员工管理、合同管理、纠纷管理等）；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（3）产品及技术信息（设计及图纸、样品及服务、技术方案、质量标准、技术标准、计算机程序等）；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（4）财务信息（财务收支、固定资产、流动资金、成本核算等）；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（5）我方单独或机场公司（包括机场公司关联公司）和我方共同为机场公司开发、设计、生产的产品、资料及相关信息；</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（6）其他机场公司未对外公开的有关营运、计划、航班数据、标准、开发、生产、经营、质量管理控制和租赁的资料和数据等信息以及对供应商的管理文件。</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1.3、对于上述提及的商业秘密，不能仅因为公开发表的文章或资讯中包含其内容，就认为是可对外公开的特殊情况。</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1.4、以下资料不属于本承诺所指的商业秘密：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（1）我方从机场公司拟获悉之前已持有的我方无需承担保密义务的机场公司有关资料(但通过其它违约或侵权行为而获得的资料除外)；</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（2）已经公开或已成为常识性的资料，且该等公开并非因违反本承诺所致。</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（1）披露、使用或者允许他人以不正当手段获取的商业秘密；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（2）为机场公司以外的第三人窃取、刺探、收买、非法提供商业秘密。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（3）在电子公告系统、聊天系统、电子邮箱、论坛等计算机网络系统上传递、转发、抄送、发布、谈论和传播商业秘密；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（4）在私人交往和通信中，向亲属、朋友以及与工作无关人员泄露商业秘密，或在公共场所谈论商业秘密； </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（5）擅自将属于商业秘密的文件、资料和其他物品携带、传递、寄运出机场公司办公场所或国（境）外。</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（6）未经机场公司同意就以任何方式私自保存、截留含有机场公司商业秘密的任何形式资料、文件和物品的复印件、复制品、副本。</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（7）将含有机场公司商业秘密的产品、技术或其他资料、信息向第三人销售、使用或以任何方式提供。</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8、违约责任</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8.1因我方违反保密义务的行为造成机场公司的一切损失，我方应当全部予以赔偿。</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8.2如我方违反本承诺书下保密义务，应当承担违约责任，除赔偿损失外，还应依据合同向机场公司支付相应的违约金。</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9、本承诺书适用中华人民共和国法律，如因履行本承诺书发生争议，则双方均有权向机场公司所在地法院提起诉讼。</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供应商(盖章):</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法定代表人或授权代表：</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电话/传真：</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地址：</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日期：     年   月   日</w:t>
      </w:r>
    </w:p>
    <w:bookmarkEnd w:id="83"/>
    <w:bookmarkEnd w:id="84"/>
    <w:p>
      <w:pPr>
        <w:pStyle w:val="2"/>
        <w:spacing w:before="0" w:after="0"/>
        <w:rPr>
          <w:rFonts w:ascii="Calibri" w:hAnsi="Calibri" w:eastAsia="黑体" w:cs="Calibri"/>
          <w:kern w:val="0"/>
          <w:sz w:val="32"/>
        </w:rPr>
      </w:pPr>
      <w:bookmarkStart w:id="85" w:name="_Toc275274581"/>
      <w:r>
        <w:br w:type="page"/>
      </w:r>
      <w:bookmarkStart w:id="86" w:name="_Toc448002987"/>
      <w:bookmarkStart w:id="87" w:name="_Toc321925456"/>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86"/>
      <w:bookmarkEnd w:id="87"/>
    </w:p>
    <w:p>
      <w:pPr>
        <w:pStyle w:val="5"/>
        <w:spacing w:line="360" w:lineRule="exact"/>
        <w:ind w:firstLine="420"/>
        <w:rPr>
          <w:rFonts w:hAnsi="宋体" w:cs="Calibri"/>
          <w:bCs/>
          <w:sz w:val="22"/>
          <w:szCs w:val="22"/>
        </w:rPr>
      </w:pPr>
      <w:bookmarkStart w:id="88" w:name="_Toc321925457"/>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exact"/>
        <w:rPr>
          <w:rFonts w:hAnsi="宋体" w:cs="Calibri"/>
          <w:b/>
          <w:bCs/>
          <w:sz w:val="22"/>
          <w:szCs w:val="22"/>
        </w:rPr>
      </w:pPr>
      <w:r>
        <w:rPr>
          <w:rFonts w:hAnsi="宋体" w:cs="Calibri"/>
          <w:b/>
          <w:bCs/>
          <w:sz w:val="22"/>
          <w:szCs w:val="22"/>
        </w:rPr>
        <w:t>一、评标原则</w:t>
      </w:r>
    </w:p>
    <w:p>
      <w:pPr>
        <w:pStyle w:val="5"/>
        <w:spacing w:line="360" w:lineRule="exact"/>
        <w:ind w:firstLine="420"/>
        <w:rPr>
          <w:rFonts w:hAnsi="宋体" w:cs="Calibri"/>
          <w:sz w:val="22"/>
          <w:szCs w:val="22"/>
        </w:rPr>
      </w:pPr>
      <w:r>
        <w:rPr>
          <w:rFonts w:hAnsi="宋体" w:cs="Calibri"/>
          <w:bCs/>
          <w:sz w:val="22"/>
          <w:szCs w:val="22"/>
        </w:rPr>
        <w:t>评标应遵循公平、公正、科学、择优的原则。</w:t>
      </w:r>
    </w:p>
    <w:p>
      <w:pPr>
        <w:pStyle w:val="5"/>
        <w:spacing w:line="360" w:lineRule="exact"/>
        <w:rPr>
          <w:rFonts w:hAnsi="宋体" w:cs="Calibri"/>
          <w:b/>
          <w:bCs/>
          <w:sz w:val="22"/>
          <w:szCs w:val="22"/>
        </w:rPr>
      </w:pPr>
      <w:r>
        <w:rPr>
          <w:rFonts w:hAnsi="宋体" w:cs="Calibri"/>
          <w:b/>
          <w:bCs/>
          <w:sz w:val="22"/>
          <w:szCs w:val="22"/>
        </w:rPr>
        <w:t>二、评标组织</w:t>
      </w:r>
    </w:p>
    <w:p>
      <w:pPr>
        <w:pStyle w:val="5"/>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5"/>
        <w:spacing w:line="360" w:lineRule="exact"/>
        <w:rPr>
          <w:rFonts w:hAnsi="宋体" w:cs="Calibri"/>
          <w:b/>
          <w:bCs/>
          <w:sz w:val="22"/>
          <w:szCs w:val="22"/>
        </w:rPr>
      </w:pPr>
      <w:r>
        <w:rPr>
          <w:rFonts w:hAnsi="宋体" w:cs="Calibri"/>
          <w:b/>
          <w:bCs/>
          <w:sz w:val="22"/>
          <w:szCs w:val="22"/>
        </w:rPr>
        <w:t>三、投标文件的评审</w:t>
      </w:r>
    </w:p>
    <w:p>
      <w:pPr>
        <w:pStyle w:val="5"/>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spacing w:line="360" w:lineRule="exact"/>
        <w:ind w:firstLine="470" w:firstLineChars="214"/>
        <w:rPr>
          <w:rFonts w:ascii="宋体" w:hAnsi="宋体" w:cs="Calibri"/>
          <w:sz w:val="22"/>
          <w:szCs w:val="22"/>
        </w:rPr>
      </w:pPr>
      <w:r>
        <w:rPr>
          <w:rFonts w:hint="eastAsia" w:ascii="宋体" w:hAnsi="宋体" w:cs="Calibri"/>
          <w:sz w:val="22"/>
          <w:szCs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5"/>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5"/>
        <w:numPr>
          <w:ilvl w:val="0"/>
          <w:numId w:val="10"/>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5"/>
        <w:numPr>
          <w:ilvl w:val="0"/>
          <w:numId w:val="10"/>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5"/>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5"/>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5"/>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5"/>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5"/>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0-40分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tcPr>
          <w:p>
            <w:pPr>
              <w:pStyle w:val="5"/>
              <w:adjustRightInd w:val="0"/>
              <w:snapToGrid w:val="0"/>
              <w:spacing w:line="360" w:lineRule="exact"/>
              <w:jc w:val="center"/>
              <w:rPr>
                <w:rFonts w:hAnsi="宋体" w:cs="Courier New"/>
                <w:kern w:val="2"/>
                <w:sz w:val="22"/>
                <w:szCs w:val="22"/>
              </w:rPr>
            </w:pPr>
            <w:r>
              <w:rPr>
                <w:rFonts w:hAnsi="宋体" w:cs="Courier New"/>
                <w:kern w:val="2"/>
                <w:sz w:val="22"/>
                <w:szCs w:val="22"/>
              </w:rPr>
              <w:t>评定项目</w:t>
            </w:r>
          </w:p>
        </w:tc>
        <w:tc>
          <w:tcPr>
            <w:tcW w:w="2410" w:type="dxa"/>
          </w:tcPr>
          <w:p>
            <w:pPr>
              <w:pStyle w:val="5"/>
              <w:adjustRightInd w:val="0"/>
              <w:snapToGrid w:val="0"/>
              <w:spacing w:line="360" w:lineRule="exact"/>
              <w:jc w:val="center"/>
              <w:rPr>
                <w:rFonts w:hAnsi="宋体" w:cs="Courier New"/>
                <w:kern w:val="2"/>
                <w:sz w:val="22"/>
                <w:szCs w:val="22"/>
              </w:rPr>
            </w:pPr>
            <w:r>
              <w:rPr>
                <w:rFonts w:hAnsi="宋体" w:cs="Courier New"/>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szCs w:val="22"/>
              </w:rPr>
            </w:pPr>
            <w:r>
              <w:rPr>
                <w:rFonts w:hint="eastAsia" w:ascii="宋体" w:hAnsi="宋体" w:cs="宋体"/>
                <w:kern w:val="0"/>
                <w:sz w:val="22"/>
                <w:szCs w:val="22"/>
              </w:rPr>
              <w:t>投标产品的企业规模、制造能力、得奖情况</w:t>
            </w:r>
          </w:p>
        </w:tc>
        <w:tc>
          <w:tcPr>
            <w:tcW w:w="2410" w:type="dxa"/>
            <w:vAlign w:val="center"/>
          </w:tcPr>
          <w:p>
            <w:pPr>
              <w:widowControl/>
              <w:snapToGrid w:val="0"/>
              <w:spacing w:line="360" w:lineRule="exact"/>
              <w:jc w:val="center"/>
              <w:rPr>
                <w:rFonts w:ascii="宋体" w:hAnsi="宋体"/>
                <w:sz w:val="22"/>
                <w:szCs w:val="22"/>
              </w:rPr>
            </w:pPr>
            <w:r>
              <w:rPr>
                <w:rFonts w:hint="eastAsia" w:ascii="宋体" w:hAnsi="宋体" w:cs="宋体"/>
                <w:kern w:val="0"/>
                <w:sz w:val="22"/>
                <w:szCs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投标货物品牌、技术指标的符合性、优越性</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主要制作材料选用的比较（依据投标人提供的样品）</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hAnsi="宋体"/>
                <w:sz w:val="22"/>
                <w:szCs w:val="22"/>
              </w:rPr>
            </w:pPr>
            <w:r>
              <w:rPr>
                <w:rFonts w:hint="eastAsia" w:cs="Arial" w:asciiTheme="minorEastAsia" w:hAnsiTheme="minorEastAsia"/>
                <w:kern w:val="0"/>
                <w:sz w:val="22"/>
                <w:szCs w:val="22"/>
              </w:rPr>
              <w:t>近三年（2016年1月1日至投标截止日）类似本项目销售业绩（单个项目防火门数量50樘或200㎡以上，每提供一个得1分，需提供合同复印件或中标</w:t>
            </w:r>
            <w:r>
              <w:rPr>
                <w:rFonts w:cs="Arial" w:asciiTheme="minorEastAsia" w:hAnsiTheme="minorEastAsia"/>
                <w:kern w:val="0"/>
                <w:sz w:val="22"/>
                <w:szCs w:val="22"/>
              </w:rPr>
              <w:t>通知书</w:t>
            </w:r>
            <w:r>
              <w:rPr>
                <w:rFonts w:hint="eastAsia" w:cs="Arial" w:asciiTheme="minorEastAsia" w:hAnsiTheme="minorEastAsia"/>
                <w:kern w:val="0"/>
                <w:sz w:val="22"/>
                <w:szCs w:val="22"/>
              </w:rPr>
              <w:t>，</w:t>
            </w:r>
            <w:r>
              <w:rPr>
                <w:rFonts w:cs="Arial" w:asciiTheme="minorEastAsia" w:hAnsiTheme="minorEastAsia"/>
                <w:kern w:val="0"/>
                <w:sz w:val="22"/>
                <w:szCs w:val="22"/>
              </w:rPr>
              <w:t>并加盖投标人公章作为证明材料</w:t>
            </w:r>
            <w:r>
              <w:rPr>
                <w:rFonts w:hint="eastAsia" w:cs="Arial" w:asciiTheme="minorEastAsia" w:hAnsiTheme="minorEastAsia"/>
                <w:kern w:val="0"/>
                <w:sz w:val="22"/>
                <w:szCs w:val="22"/>
              </w:rPr>
              <w:t>）</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组织实施方案：投标人组织实施方案的科学性、合理性、规范性和可操作性，包括货物供货、验货、安装、垃圾清运、门洞修复等关键步骤的思路和要点以及组织机构、工作时间进度表、工作程序和步骤等内容。</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szCs w:val="22"/>
              </w:rPr>
            </w:pPr>
            <w:r>
              <w:rPr>
                <w:rFonts w:hint="eastAsia" w:hAnsi="宋体"/>
                <w:sz w:val="22"/>
                <w:szCs w:val="22"/>
              </w:rPr>
              <w:t>投标人是否具有较强的本地化服务能力、售后服务承诺、提供的售后服务方案的可行性、完整性以及服务承诺落实的保障措施，质保期内外的后续技术支持和维护能力情况等。</w:t>
            </w:r>
          </w:p>
        </w:tc>
        <w:tc>
          <w:tcPr>
            <w:tcW w:w="2410" w:type="dxa"/>
            <w:vAlign w:val="center"/>
          </w:tcPr>
          <w:p>
            <w:pPr>
              <w:widowControl/>
              <w:snapToGrid w:val="0"/>
              <w:spacing w:line="360" w:lineRule="exact"/>
              <w:jc w:val="center"/>
              <w:rPr>
                <w:rFonts w:ascii="宋体" w:hAnsi="宋体"/>
                <w:sz w:val="22"/>
                <w:szCs w:val="22"/>
              </w:rPr>
            </w:pPr>
            <w:r>
              <w:rPr>
                <w:rFonts w:hint="eastAsia" w:ascii="宋体" w:hAnsi="宋体" w:cs="宋体"/>
                <w:kern w:val="0"/>
                <w:sz w:val="22"/>
                <w:szCs w:val="22"/>
              </w:rPr>
              <w:t>0-6</w:t>
            </w:r>
          </w:p>
        </w:tc>
      </w:tr>
    </w:tbl>
    <w:p>
      <w:pPr>
        <w:pStyle w:val="5"/>
        <w:spacing w:line="360" w:lineRule="exact"/>
        <w:rPr>
          <w:rFonts w:hAnsi="宋体" w:cs="Calibri"/>
          <w:b/>
          <w:sz w:val="22"/>
          <w:szCs w:val="22"/>
        </w:rPr>
      </w:pPr>
      <w:r>
        <w:rPr>
          <w:rFonts w:hAnsi="宋体" w:cs="Calibri"/>
          <w:b/>
          <w:sz w:val="22"/>
          <w:szCs w:val="22"/>
        </w:rPr>
        <w:t>3.4推荐中标候选人</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13"/>
      </w:pPr>
      <w:r>
        <w:t>第</w:t>
      </w:r>
      <w:r>
        <w:rPr>
          <w:rFonts w:hint="eastAsia"/>
        </w:rPr>
        <w:t>六</w:t>
      </w:r>
      <w:r>
        <w:t>章  投标文件格式</w:t>
      </w:r>
      <w:bookmarkEnd w:id="85"/>
      <w:bookmarkEnd w:id="88"/>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sz w:val="22"/>
          <w:szCs w:val="22"/>
        </w:rPr>
      </w:pPr>
      <w:r>
        <w:rPr>
          <w:rFonts w:ascii="宋体" w:hAnsi="宋体" w:cs="Calibri"/>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二、</w:t>
      </w:r>
      <w:r>
        <w:rPr>
          <w:rFonts w:cs="Calibri" w:asciiTheme="minorEastAsia" w:hAnsiTheme="minorEastAsia"/>
          <w:sz w:val="22"/>
          <w:szCs w:val="22"/>
        </w:rPr>
        <w:t>法定代表人资格证明书；</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三、</w:t>
      </w:r>
      <w:r>
        <w:rPr>
          <w:rFonts w:cs="Calibri" w:asciiTheme="minorEastAsia" w:hAnsiTheme="minorEastAsia"/>
          <w:sz w:val="22"/>
          <w:szCs w:val="22"/>
        </w:rPr>
        <w:t>授权委托书；</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四、</w:t>
      </w:r>
      <w:r>
        <w:rPr>
          <w:rFonts w:cs="Calibri" w:asciiTheme="minorEastAsia" w:hAnsiTheme="minorEastAsia"/>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sz w:val="22"/>
          <w:szCs w:val="22"/>
        </w:rPr>
        <w:t>投标人一般情况</w:t>
      </w:r>
      <w:r>
        <w:rPr>
          <w:rFonts w:hint="eastAsia" w:cs="Calibri" w:asciiTheme="minorEastAsia" w:hAnsiTheme="minorEastAsia"/>
          <w:sz w:val="22"/>
          <w:szCs w:val="22"/>
        </w:rPr>
        <w:t>及</w:t>
      </w:r>
      <w:r>
        <w:rPr>
          <w:rFonts w:cs="Calibri" w:asciiTheme="minorEastAsia" w:hAnsiTheme="minorEastAsia"/>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w:t>
      </w:r>
      <w:r>
        <w:rPr>
          <w:rFonts w:ascii="宋体" w:hAnsi="宋体" w:cs="Calibri"/>
          <w:sz w:val="22"/>
          <w:szCs w:val="22"/>
        </w:rPr>
        <w:t>3</w:t>
      </w:r>
      <w:r>
        <w:rPr>
          <w:rFonts w:hint="eastAsia" w:ascii="宋体" w:hAnsi="宋体" w:cs="Calibri"/>
          <w:sz w:val="22"/>
          <w:szCs w:val="22"/>
        </w:rPr>
        <w:t>）</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（4）生产厂家的授权书（代理商投标时提供）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w:t>
      </w:r>
      <w:r>
        <w:rPr>
          <w:rFonts w:ascii="宋体" w:hAnsi="宋体" w:cs="Arial"/>
          <w:kern w:val="0"/>
          <w:sz w:val="22"/>
          <w:szCs w:val="22"/>
        </w:rPr>
        <w:t>5</w:t>
      </w:r>
      <w:r>
        <w:rPr>
          <w:rFonts w:hint="eastAsia" w:ascii="宋体" w:hAnsi="宋体" w:cs="Arial"/>
          <w:kern w:val="0"/>
          <w:sz w:val="22"/>
          <w:szCs w:val="22"/>
        </w:rPr>
        <w:t>）</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w:t>
      </w:r>
      <w:r>
        <w:rPr>
          <w:rFonts w:hint="eastAsia" w:cs="Arial" w:asciiTheme="minorEastAsia" w:hAnsiTheme="minorEastAsia"/>
          <w:sz w:val="22"/>
          <w:szCs w:val="22"/>
        </w:rPr>
        <w:t>投标人认为</w:t>
      </w:r>
      <w:r>
        <w:rPr>
          <w:rFonts w:cs="Arial" w:asciiTheme="minorEastAsia" w:hAnsiTheme="minorEastAsia"/>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sz w:val="22"/>
          <w:szCs w:val="22"/>
        </w:rPr>
      </w:pPr>
    </w:p>
    <w:p>
      <w:pPr>
        <w:rPr>
          <w:rFonts w:ascii="宋体" w:hAnsi="宋体" w:cs="Calibri"/>
          <w:sz w:val="22"/>
          <w:szCs w:val="22"/>
        </w:rPr>
      </w:pPr>
    </w:p>
    <w:p>
      <w:pPr>
        <w:spacing w:line="440" w:lineRule="exact"/>
        <w:rPr>
          <w:rFonts w:ascii="宋体" w:hAnsi="宋体" w:cs="Calibri"/>
          <w:sz w:val="22"/>
          <w:szCs w:val="22"/>
        </w:rPr>
      </w:pPr>
    </w:p>
    <w:p>
      <w:pPr>
        <w:widowControl/>
        <w:jc w:val="left"/>
        <w:rPr>
          <w:rFonts w:ascii="宋体" w:hAnsi="宋体" w:cs="Calibri"/>
          <w:sz w:val="22"/>
          <w:szCs w:val="22"/>
        </w:rPr>
      </w:pPr>
      <w:r>
        <w:rPr>
          <w:rFonts w:hint="eastAsia" w:ascii="宋体" w:hAnsi="宋体" w:cs="Calibri"/>
          <w:sz w:val="22"/>
          <w:szCs w:val="22"/>
        </w:rPr>
        <w:t>注：未提供格式的由投标人自行拟定格式。</w:t>
      </w:r>
    </w:p>
    <w:p>
      <w:pPr>
        <w:widowControl/>
        <w:jc w:val="left"/>
        <w:rPr>
          <w:rFonts w:ascii="宋体" w:hAnsi="宋体" w:cs="Calibri"/>
        </w:rPr>
      </w:pPr>
      <w:r>
        <w:rPr>
          <w:rFonts w:ascii="宋体" w:hAnsi="宋体" w:cs="Calibri"/>
        </w:rPr>
        <w:br w:type="page"/>
      </w:r>
    </w:p>
    <w:p>
      <w:pPr>
        <w:spacing w:line="440" w:lineRule="exact"/>
        <w:ind w:right="420"/>
        <w:jc w:val="right"/>
        <w:rPr>
          <w:rFonts w:cs="Calibri"/>
        </w:rPr>
      </w:pPr>
      <w:r>
        <w:rPr>
          <w:rFonts w:cs="Calibri"/>
        </w:rPr>
        <w:t>正本（或副本）</w:t>
      </w:r>
    </w:p>
    <w:p>
      <w:pPr>
        <w:spacing w:line="440" w:lineRule="exact"/>
        <w:rPr>
          <w:rFonts w:cs="Calibri"/>
          <w:u w:val="single"/>
        </w:rPr>
      </w:pPr>
      <w:bookmarkStart w:id="89" w:name="_Toc171421958"/>
      <w:r>
        <w:rPr>
          <w:rFonts w:cs="Calibri"/>
        </w:rPr>
        <w:t>封面</w:t>
      </w:r>
      <w:bookmarkEnd w:id="8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rPr>
      </w:pPr>
    </w:p>
    <w:p>
      <w:pPr>
        <w:spacing w:line="440" w:lineRule="exact"/>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rPr>
      </w:pPr>
    </w:p>
    <w:p>
      <w:pPr>
        <w:spacing w:line="440" w:lineRule="exact"/>
        <w:ind w:firstLine="480" w:firstLineChars="200"/>
        <w:rPr>
          <w:rFonts w:cs="Calibri"/>
        </w:rPr>
      </w:pPr>
      <w:r>
        <w:rPr>
          <w:rFonts w:cs="Calibri"/>
        </w:rPr>
        <w:t xml:space="preserve">                  </w:t>
      </w: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eastAsia="等线" w:cs="Times New Roman"/>
          <w:sz w:val="22"/>
          <w:szCs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11"/>
        </w:numPr>
        <w:tabs>
          <w:tab w:val="left" w:pos="840"/>
        </w:tabs>
        <w:overflowPunct w:val="0"/>
        <w:autoSpaceDE w:val="0"/>
        <w:autoSpaceDN w:val="0"/>
        <w:spacing w:line="440" w:lineRule="exact"/>
        <w:rPr>
          <w:rFonts w:ascii="宋体" w:hAnsi="宋体" w:cs="Times New Roman"/>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75"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11"/>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12"/>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12"/>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12"/>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11"/>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13"/>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13"/>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13"/>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11"/>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11"/>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11"/>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11"/>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numPr>
          <w:ilvl w:val="0"/>
          <w:numId w:val="0"/>
        </w:numPr>
        <w:tabs>
          <w:tab w:val="left" w:pos="840"/>
          <w:tab w:val="left" w:pos="907"/>
        </w:tabs>
        <w:overflowPunct w:val="0"/>
        <w:autoSpaceDE w:val="0"/>
        <w:autoSpaceDN w:val="0"/>
        <w:spacing w:line="440" w:lineRule="exact"/>
        <w:ind w:left="420" w:firstLine="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投标人：（盖单位章）</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法定代表人或其委托代理人：（签字或盖章）</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地    址：</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邮政编码：</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电    话：</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传    真：</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开户银行：</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账    号：</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日    期：    年     月     日</w:t>
      </w:r>
    </w:p>
    <w:p>
      <w:pPr>
        <w:adjustRightInd w:val="0"/>
        <w:snapToGrid w:val="0"/>
        <w:jc w:val="center"/>
        <w:rPr>
          <w:rFonts w:eastAsia="黑体" w:cs="Calibri"/>
          <w:sz w:val="32"/>
          <w:szCs w:val="32"/>
        </w:rPr>
      </w:pPr>
      <w:r>
        <w:rPr>
          <w:rFonts w:ascii="宋体" w:hAnsi="宋体" w:cs="Arial"/>
          <w:sz w:val="22"/>
          <w:szCs w:val="22"/>
        </w:rPr>
        <w:br w:type="page"/>
      </w:r>
      <w:r>
        <w:rPr>
          <w:rFonts w:hint="eastAsia" w:eastAsia="黑体" w:cs="Calibri"/>
          <w:sz w:val="32"/>
          <w:szCs w:val="32"/>
        </w:rPr>
        <w:t>二</w:t>
      </w:r>
      <w:r>
        <w:rPr>
          <w:rFonts w:eastAsia="黑体" w:cs="Calibri"/>
          <w:sz w:val="32"/>
          <w:szCs w:val="32"/>
        </w:rPr>
        <w:t>、法定代表人身份证明</w:t>
      </w:r>
    </w:p>
    <w:p>
      <w:pPr>
        <w:spacing w:after="120" w:afterLines="50" w:line="440" w:lineRule="exact"/>
        <w:rPr>
          <w:rFonts w:cs="Calibri"/>
        </w:rPr>
      </w:pPr>
    </w:p>
    <w:p>
      <w:pPr>
        <w:spacing w:after="120" w:afterLines="50" w:line="440" w:lineRule="exact"/>
        <w:rPr>
          <w:rFonts w:cs="Calibri"/>
          <w:sz w:val="22"/>
          <w:szCs w:val="22"/>
          <w:u w:val="single"/>
        </w:rPr>
      </w:pPr>
      <w:r>
        <w:rPr>
          <w:rFonts w:cs="Calibri"/>
          <w:sz w:val="22"/>
          <w:szCs w:val="22"/>
        </w:rPr>
        <w:t>投标人名称：</w:t>
      </w:r>
      <w:r>
        <w:rPr>
          <w:rFonts w:cs="Calibri"/>
          <w:sz w:val="22"/>
          <w:szCs w:val="22"/>
          <w:u w:val="single"/>
        </w:rPr>
        <w:t xml:space="preserve">                                  </w:t>
      </w:r>
    </w:p>
    <w:p>
      <w:pPr>
        <w:spacing w:after="120" w:afterLines="50" w:line="440" w:lineRule="exact"/>
        <w:rPr>
          <w:rFonts w:cs="Calibri"/>
          <w:sz w:val="22"/>
          <w:szCs w:val="22"/>
          <w:u w:val="single"/>
        </w:rPr>
      </w:pPr>
      <w:r>
        <w:rPr>
          <w:rFonts w:cs="Calibri"/>
          <w:sz w:val="22"/>
          <w:szCs w:val="22"/>
        </w:rPr>
        <w:t>单位性质：</w:t>
      </w:r>
      <w:r>
        <w:rPr>
          <w:rFonts w:cs="Calibri"/>
          <w:sz w:val="22"/>
          <w:szCs w:val="22"/>
          <w:u w:val="single"/>
        </w:rPr>
        <w:t xml:space="preserve">                                    </w:t>
      </w:r>
    </w:p>
    <w:p>
      <w:pPr>
        <w:spacing w:after="120" w:afterLines="50" w:line="440" w:lineRule="exact"/>
        <w:rPr>
          <w:rFonts w:cs="Calibri"/>
          <w:sz w:val="22"/>
          <w:szCs w:val="22"/>
          <w:u w:val="single"/>
        </w:rPr>
      </w:pPr>
      <w:r>
        <w:rPr>
          <w:rFonts w:cs="Calibri"/>
          <w:sz w:val="22"/>
          <w:szCs w:val="22"/>
        </w:rPr>
        <w:t>地址：</w:t>
      </w:r>
      <w:r>
        <w:rPr>
          <w:rFonts w:cs="Calibri"/>
          <w:sz w:val="22"/>
          <w:szCs w:val="22"/>
          <w:u w:val="single"/>
        </w:rPr>
        <w:t xml:space="preserve">                                        </w:t>
      </w:r>
    </w:p>
    <w:p>
      <w:pPr>
        <w:spacing w:after="120" w:afterLines="50" w:line="440" w:lineRule="exact"/>
        <w:rPr>
          <w:rFonts w:cs="Calibri"/>
          <w:sz w:val="22"/>
          <w:szCs w:val="22"/>
          <w:u w:val="single"/>
        </w:rPr>
      </w:pPr>
      <w:r>
        <w:rPr>
          <w:rFonts w:cs="Calibri"/>
          <w:sz w:val="22"/>
          <w:szCs w:val="22"/>
        </w:rPr>
        <w:t>成立时间：</w:t>
      </w:r>
      <w:r>
        <w:rPr>
          <w:rFonts w:cs="Calibri"/>
          <w:sz w:val="22"/>
          <w:szCs w:val="22"/>
          <w:u w:val="single"/>
        </w:rPr>
        <w:t xml:space="preserve">          </w:t>
      </w:r>
      <w:r>
        <w:rPr>
          <w:rFonts w:cs="Calibri"/>
          <w:sz w:val="22"/>
          <w:szCs w:val="22"/>
        </w:rPr>
        <w:t>年</w:t>
      </w:r>
      <w:r>
        <w:rPr>
          <w:rFonts w:cs="Calibri"/>
          <w:sz w:val="22"/>
          <w:szCs w:val="22"/>
          <w:u w:val="single"/>
        </w:rPr>
        <w:t xml:space="preserve">           </w:t>
      </w:r>
      <w:r>
        <w:rPr>
          <w:rFonts w:cs="Calibri"/>
          <w:sz w:val="22"/>
          <w:szCs w:val="22"/>
        </w:rPr>
        <w:t>月</w:t>
      </w:r>
      <w:r>
        <w:rPr>
          <w:rFonts w:cs="Calibri"/>
          <w:sz w:val="22"/>
          <w:szCs w:val="22"/>
          <w:u w:val="single"/>
        </w:rPr>
        <w:t xml:space="preserve">           </w:t>
      </w:r>
      <w:r>
        <w:rPr>
          <w:rFonts w:cs="Calibri"/>
          <w:sz w:val="22"/>
          <w:szCs w:val="22"/>
        </w:rPr>
        <w:t>日</w:t>
      </w:r>
    </w:p>
    <w:p>
      <w:pPr>
        <w:spacing w:after="120" w:afterLines="50" w:line="440" w:lineRule="exact"/>
        <w:rPr>
          <w:rFonts w:cs="Calibri"/>
          <w:sz w:val="22"/>
          <w:szCs w:val="22"/>
          <w:u w:val="single"/>
        </w:rPr>
      </w:pPr>
      <w:r>
        <w:rPr>
          <w:rFonts w:cs="Calibri"/>
          <w:sz w:val="22"/>
          <w:szCs w:val="22"/>
        </w:rPr>
        <w:t>经营期限：</w:t>
      </w:r>
      <w:r>
        <w:rPr>
          <w:rFonts w:cs="Calibri"/>
          <w:sz w:val="22"/>
          <w:szCs w:val="22"/>
          <w:u w:val="single"/>
        </w:rPr>
        <w:t xml:space="preserve">                                     </w:t>
      </w:r>
    </w:p>
    <w:p>
      <w:pPr>
        <w:spacing w:after="120" w:afterLines="50" w:line="440" w:lineRule="exact"/>
        <w:rPr>
          <w:rFonts w:cs="Calibri"/>
          <w:sz w:val="22"/>
          <w:szCs w:val="22"/>
          <w:u w:val="single"/>
        </w:rPr>
      </w:pPr>
      <w:r>
        <w:rPr>
          <w:rFonts w:cs="Calibri"/>
          <w:sz w:val="22"/>
          <w:szCs w:val="22"/>
        </w:rPr>
        <w:t>姓名：</w:t>
      </w:r>
      <w:r>
        <w:rPr>
          <w:rFonts w:cs="Calibri"/>
          <w:sz w:val="22"/>
          <w:szCs w:val="22"/>
          <w:u w:val="single"/>
        </w:rPr>
        <w:t xml:space="preserve">         </w:t>
      </w:r>
      <w:r>
        <w:rPr>
          <w:rFonts w:cs="Calibri"/>
          <w:sz w:val="22"/>
          <w:szCs w:val="22"/>
        </w:rPr>
        <w:t xml:space="preserve">  性别：</w:t>
      </w:r>
      <w:r>
        <w:rPr>
          <w:rFonts w:cs="Calibri"/>
          <w:sz w:val="22"/>
          <w:szCs w:val="22"/>
          <w:u w:val="single"/>
        </w:rPr>
        <w:t xml:space="preserve">         </w:t>
      </w:r>
      <w:r>
        <w:rPr>
          <w:rFonts w:cs="Calibri"/>
          <w:sz w:val="22"/>
          <w:szCs w:val="22"/>
        </w:rPr>
        <w:t xml:space="preserve">  年龄：</w:t>
      </w:r>
      <w:r>
        <w:rPr>
          <w:rFonts w:cs="Calibri"/>
          <w:sz w:val="22"/>
          <w:szCs w:val="22"/>
          <w:u w:val="single"/>
        </w:rPr>
        <w:t xml:space="preserve">         </w:t>
      </w:r>
      <w:r>
        <w:rPr>
          <w:rFonts w:cs="Calibri"/>
          <w:sz w:val="22"/>
          <w:szCs w:val="22"/>
        </w:rPr>
        <w:t xml:space="preserve">  职务：</w:t>
      </w:r>
      <w:r>
        <w:rPr>
          <w:rFonts w:cs="Calibri"/>
          <w:sz w:val="22"/>
          <w:szCs w:val="22"/>
          <w:u w:val="single"/>
        </w:rPr>
        <w:t xml:space="preserve">         </w:t>
      </w:r>
      <w:r>
        <w:rPr>
          <w:rFonts w:cs="Calibri"/>
          <w:sz w:val="22"/>
          <w:szCs w:val="22"/>
        </w:rPr>
        <w:t xml:space="preserve">  </w:t>
      </w:r>
    </w:p>
    <w:p>
      <w:pPr>
        <w:spacing w:after="120" w:afterLines="50" w:line="440" w:lineRule="exact"/>
        <w:rPr>
          <w:rFonts w:cs="Calibri"/>
          <w:sz w:val="22"/>
          <w:szCs w:val="22"/>
          <w:u w:val="single"/>
        </w:rPr>
      </w:pPr>
      <w:r>
        <w:rPr>
          <w:rFonts w:cs="Calibri"/>
          <w:sz w:val="22"/>
          <w:szCs w:val="22"/>
        </w:rPr>
        <w:t>身份证号码：</w:t>
      </w:r>
      <w:r>
        <w:rPr>
          <w:rFonts w:cs="Calibri"/>
          <w:sz w:val="22"/>
          <w:szCs w:val="22"/>
          <w:u w:val="single"/>
        </w:rPr>
        <w:t xml:space="preserve">                           </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 xml:space="preserve">    系</w:t>
      </w:r>
      <w:r>
        <w:rPr>
          <w:rFonts w:cs="Calibri"/>
          <w:sz w:val="22"/>
          <w:szCs w:val="22"/>
          <w:u w:val="single"/>
        </w:rPr>
        <w:t xml:space="preserve">                          </w:t>
      </w:r>
      <w:r>
        <w:rPr>
          <w:rFonts w:cs="Calibri"/>
          <w:sz w:val="22"/>
          <w:szCs w:val="22"/>
        </w:rPr>
        <w:t>（投标人名称）的法定代表人。</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特此证明。</w:t>
      </w:r>
    </w:p>
    <w:p>
      <w:pPr>
        <w:spacing w:line="440" w:lineRule="exact"/>
        <w:rPr>
          <w:rFonts w:cs="Calibri"/>
          <w:sz w:val="22"/>
          <w:szCs w:val="22"/>
        </w:rPr>
      </w:pPr>
      <w:r>
        <w:rPr>
          <w:rFonts w:cs="Calibri"/>
          <w:sz w:val="22"/>
          <w:szCs w:val="22"/>
        </w:rPr>
        <w:t>附：法定代表人身份证复印件</w:t>
      </w:r>
    </w:p>
    <w:p>
      <w:pPr>
        <w:spacing w:line="440" w:lineRule="exact"/>
        <w:rPr>
          <w:rFonts w:cs="Calibri"/>
          <w:sz w:val="22"/>
          <w:szCs w:val="22"/>
        </w:rPr>
      </w:pPr>
      <w:r>
        <w:rPr>
          <w:rFonts w:cs="Calibri"/>
          <w:sz w:val="22"/>
          <w:szCs w:val="22"/>
        </w:rPr>
        <w:t xml:space="preserve">投标人：（盖单位章） </w:t>
      </w:r>
    </w:p>
    <w:p>
      <w:pPr>
        <w:spacing w:line="440" w:lineRule="exact"/>
        <w:ind w:firstLine="4936" w:firstLineChars="2235"/>
        <w:rPr>
          <w:rFonts w:cs="Calibri"/>
          <w:b/>
          <w:sz w:val="22"/>
          <w:szCs w:val="22"/>
        </w:rPr>
      </w:pPr>
      <w:r>
        <w:rPr>
          <w:rFonts w:cs="Calibri"/>
          <w:b/>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sz w:val="22"/>
          <w:szCs w:val="22"/>
        </w:rPr>
        <w:t>日期：   年    月    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80" w:firstLineChars="200"/>
        <w:rPr>
          <w:rFonts w:cs="Calibri"/>
          <w:szCs w:val="21"/>
        </w:rPr>
      </w:pPr>
    </w:p>
    <w:p>
      <w:pPr>
        <w:spacing w:line="440" w:lineRule="exact"/>
        <w:ind w:firstLine="440" w:firstLineChars="200"/>
        <w:rPr>
          <w:rFonts w:cs="Calibri"/>
          <w:sz w:val="22"/>
          <w:szCs w:val="22"/>
        </w:rPr>
      </w:pPr>
      <w:r>
        <w:rPr>
          <w:rFonts w:cs="Calibri"/>
          <w:sz w:val="22"/>
          <w:szCs w:val="22"/>
        </w:rPr>
        <w:t>本人</w:t>
      </w:r>
      <w:r>
        <w:rPr>
          <w:rFonts w:cs="Calibri"/>
          <w:sz w:val="22"/>
          <w:szCs w:val="22"/>
          <w:u w:val="single"/>
        </w:rPr>
        <w:t xml:space="preserve">        </w:t>
      </w:r>
      <w:r>
        <w:rPr>
          <w:rFonts w:cs="Calibri"/>
          <w:sz w:val="22"/>
          <w:szCs w:val="22"/>
        </w:rPr>
        <w:t>（姓名）系</w:t>
      </w:r>
      <w:r>
        <w:rPr>
          <w:rFonts w:cs="Calibri"/>
          <w:sz w:val="22"/>
          <w:szCs w:val="22"/>
          <w:u w:val="single"/>
        </w:rPr>
        <w:t xml:space="preserve">                </w:t>
      </w:r>
      <w:r>
        <w:rPr>
          <w:rFonts w:cs="Calibri"/>
          <w:sz w:val="22"/>
          <w:szCs w:val="22"/>
        </w:rPr>
        <w:t>（投标人名称）的法定代表人，现委托</w:t>
      </w:r>
      <w:r>
        <w:rPr>
          <w:rFonts w:cs="Calibri"/>
          <w:sz w:val="22"/>
          <w:szCs w:val="22"/>
          <w:u w:val="single"/>
        </w:rPr>
        <w:t xml:space="preserve">      </w:t>
      </w:r>
      <w:r>
        <w:rPr>
          <w:rFonts w:cs="Calibri"/>
          <w:sz w:val="22"/>
          <w:szCs w:val="22"/>
        </w:rPr>
        <w:t>（姓名）为我方代理人。代理人根据授权，以我方名义签署、澄清、说明、补正、递交、撤回、修改</w:t>
      </w:r>
      <w:r>
        <w:rPr>
          <w:rFonts w:cs="Calibri"/>
          <w:sz w:val="22"/>
          <w:szCs w:val="22"/>
          <w:u w:val="single"/>
        </w:rPr>
        <w:t xml:space="preserve">              </w:t>
      </w:r>
      <w:r>
        <w:rPr>
          <w:rFonts w:cs="Calibri"/>
          <w:sz w:val="22"/>
          <w:szCs w:val="22"/>
        </w:rPr>
        <w:t>（项目名称）投标文件、签订合同和处理有关事宜，其法律后果由我方承担。</w:t>
      </w:r>
    </w:p>
    <w:p>
      <w:pPr>
        <w:spacing w:line="440" w:lineRule="exact"/>
        <w:ind w:firstLine="440" w:firstLineChars="200"/>
        <w:rPr>
          <w:rFonts w:cs="Calibri"/>
          <w:sz w:val="22"/>
          <w:szCs w:val="22"/>
        </w:rPr>
      </w:pPr>
      <w:r>
        <w:rPr>
          <w:rFonts w:cs="Calibri"/>
          <w:sz w:val="22"/>
          <w:szCs w:val="22"/>
        </w:rPr>
        <w:t>代理人无转委托权。</w:t>
      </w:r>
    </w:p>
    <w:p>
      <w:pPr>
        <w:spacing w:line="440" w:lineRule="exact"/>
        <w:ind w:firstLine="440" w:firstLineChars="200"/>
        <w:rPr>
          <w:rFonts w:cs="Calibri"/>
          <w:sz w:val="22"/>
          <w:szCs w:val="22"/>
        </w:rPr>
      </w:pPr>
      <w:r>
        <w:rPr>
          <w:rFonts w:cs="Calibri"/>
          <w:sz w:val="22"/>
          <w:szCs w:val="22"/>
        </w:rPr>
        <w:t>附：委托代理人身份证复印件</w:t>
      </w:r>
    </w:p>
    <w:p>
      <w:pPr>
        <w:spacing w:line="440" w:lineRule="exact"/>
        <w:rPr>
          <w:rFonts w:cs="Calibri"/>
          <w:sz w:val="22"/>
          <w:szCs w:val="22"/>
        </w:rPr>
      </w:pPr>
    </w:p>
    <w:p>
      <w:pPr>
        <w:spacing w:line="440" w:lineRule="exact"/>
        <w:rPr>
          <w:rFonts w:cs="Calibri"/>
          <w:sz w:val="22"/>
          <w:szCs w:val="22"/>
        </w:rPr>
      </w:pPr>
      <w:r>
        <w:rPr>
          <w:rFonts w:cs="Calibri"/>
          <w:sz w:val="22"/>
          <w:szCs w:val="22"/>
        </w:rPr>
        <w:t>投标人：（盖单位章）</w:t>
      </w:r>
    </w:p>
    <w:p>
      <w:pPr>
        <w:spacing w:line="440" w:lineRule="exact"/>
        <w:rPr>
          <w:rFonts w:cs="Calibri"/>
          <w:sz w:val="22"/>
          <w:szCs w:val="22"/>
        </w:rPr>
      </w:pPr>
      <w:r>
        <w:rPr>
          <w:rFonts w:cs="Calibri"/>
          <w:sz w:val="22"/>
          <w:szCs w:val="22"/>
        </w:rPr>
        <w:t>法定代表人：（签字或盖章）</w:t>
      </w:r>
    </w:p>
    <w:p>
      <w:pPr>
        <w:spacing w:line="440" w:lineRule="exact"/>
        <w:rPr>
          <w:rFonts w:cs="Calibri"/>
          <w:sz w:val="22"/>
          <w:szCs w:val="22"/>
        </w:rPr>
      </w:pPr>
      <w:r>
        <w:rPr>
          <w:rFonts w:cs="Calibri"/>
          <w:sz w:val="22"/>
          <w:szCs w:val="22"/>
        </w:rPr>
        <w:t>身份证号码：</w:t>
      </w:r>
    </w:p>
    <w:p>
      <w:pPr>
        <w:spacing w:line="440" w:lineRule="exact"/>
        <w:rPr>
          <w:rFonts w:cs="Calibri"/>
          <w:sz w:val="22"/>
          <w:szCs w:val="22"/>
        </w:rPr>
      </w:pPr>
    </w:p>
    <w:p>
      <w:pPr>
        <w:spacing w:line="440" w:lineRule="exact"/>
        <w:rPr>
          <w:rFonts w:cs="Calibri"/>
          <w:sz w:val="22"/>
          <w:szCs w:val="22"/>
        </w:rPr>
      </w:pPr>
      <w:r>
        <w:rPr>
          <w:rFonts w:cs="Calibri"/>
          <w:sz w:val="22"/>
          <w:szCs w:val="22"/>
        </w:rPr>
        <w:t>委托的代理人：（签字或盖章）</w:t>
      </w:r>
    </w:p>
    <w:p>
      <w:pPr>
        <w:spacing w:line="440" w:lineRule="exact"/>
        <w:rPr>
          <w:rFonts w:cs="Calibri"/>
          <w:sz w:val="22"/>
          <w:szCs w:val="22"/>
        </w:rPr>
      </w:pPr>
      <w:r>
        <w:rPr>
          <w:rFonts w:cs="Calibri"/>
          <w:sz w:val="22"/>
          <w:szCs w:val="22"/>
        </w:rPr>
        <w:t>身份证号码：</w:t>
      </w:r>
    </w:p>
    <w:p>
      <w:pPr>
        <w:spacing w:line="440" w:lineRule="exact"/>
        <w:ind w:firstLine="4730" w:firstLineChars="2150"/>
        <w:rPr>
          <w:rFonts w:cs="Calibri"/>
          <w:sz w:val="22"/>
          <w:szCs w:val="22"/>
        </w:rPr>
      </w:pPr>
      <w:r>
        <w:rPr>
          <w:rFonts w:cs="Calibri"/>
          <w:sz w:val="22"/>
          <w:szCs w:val="22"/>
        </w:rPr>
        <w:t>日期：</w:t>
      </w:r>
      <w:r>
        <w:rPr>
          <w:rFonts w:cs="Calibri"/>
          <w:sz w:val="22"/>
          <w:szCs w:val="22"/>
          <w:u w:val="single"/>
        </w:rPr>
        <w:t xml:space="preserve">      </w:t>
      </w:r>
      <w:r>
        <w:rPr>
          <w:rFonts w:cs="Calibri"/>
          <w:sz w:val="22"/>
          <w:szCs w:val="22"/>
        </w:rPr>
        <w:t>年</w:t>
      </w:r>
      <w:r>
        <w:rPr>
          <w:rFonts w:cs="Calibri"/>
          <w:sz w:val="22"/>
          <w:szCs w:val="22"/>
          <w:u w:val="single"/>
        </w:rPr>
        <w:t xml:space="preserve">      </w:t>
      </w:r>
      <w:r>
        <w:rPr>
          <w:rFonts w:cs="Calibri"/>
          <w:sz w:val="22"/>
          <w:szCs w:val="22"/>
        </w:rPr>
        <w:t>月</w:t>
      </w:r>
      <w:r>
        <w:rPr>
          <w:rFonts w:cs="Calibri"/>
          <w:sz w:val="22"/>
          <w:szCs w:val="22"/>
          <w:u w:val="single"/>
        </w:rPr>
        <w:t xml:space="preserve">      </w:t>
      </w:r>
      <w:r>
        <w:rPr>
          <w:rFonts w:cs="Calibri"/>
          <w:sz w:val="22"/>
          <w:szCs w:val="22"/>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 w:val="22"/>
          <w:szCs w:val="22"/>
        </w:rPr>
      </w:pPr>
      <w:r>
        <w:rPr>
          <w:rFonts w:cs="Calibri"/>
          <w:sz w:val="22"/>
          <w:szCs w:val="22"/>
        </w:rPr>
        <w:t>注：如投标文件由委托代理人签字或盖章的，投标文件必须附此授权委托书。</w:t>
      </w:r>
      <w:r>
        <w:rPr>
          <w:rFonts w:cs="Calibri"/>
          <w:b/>
          <w:bCs/>
          <w:sz w:val="22"/>
          <w:szCs w:val="22"/>
        </w:rPr>
        <w:t xml:space="preserve">     </w:t>
      </w:r>
    </w:p>
    <w:p>
      <w:pPr>
        <w:spacing w:line="360" w:lineRule="auto"/>
        <w:jc w:val="left"/>
        <w:rPr>
          <w:rFonts w:ascii="宋体" w:hAnsi="宋体" w:cs="宋体"/>
          <w:sz w:val="22"/>
        </w:rPr>
      </w:pPr>
    </w:p>
    <w:p>
      <w:pPr>
        <w:pStyle w:val="5"/>
        <w:spacing w:after="120" w:afterLines="50" w:line="360" w:lineRule="auto"/>
        <w:jc w:val="left"/>
        <w:rPr>
          <w:rFonts w:hAnsi="宋体" w:cs="宋体"/>
          <w:b/>
        </w:rPr>
      </w:pPr>
      <w:r>
        <w:rPr>
          <w:rFonts w:hAnsi="宋体" w:cs="宋体"/>
          <w:b/>
        </w:rPr>
        <w:br w:type="page"/>
      </w:r>
      <w:bookmarkStart w:id="90" w:name="_Toc133214309"/>
      <w:bookmarkStart w:id="91" w:name="_Toc144265958"/>
      <w:bookmarkStart w:id="92" w:name="_Toc137373398"/>
      <w:bookmarkStart w:id="93" w:name="_Toc133214102"/>
      <w:bookmarkStart w:id="94" w:name="_Toc133470542"/>
    </w:p>
    <w:p>
      <w:pPr>
        <w:pStyle w:val="5"/>
        <w:spacing w:after="120" w:afterLines="50" w:line="360" w:lineRule="auto"/>
        <w:jc w:val="left"/>
        <w:rPr>
          <w:rFonts w:hAnsi="宋体" w:cs="宋体"/>
          <w:sz w:val="22"/>
          <w:szCs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四、投标报价表</w:t>
      </w:r>
    </w:p>
    <w:p>
      <w:pPr>
        <w:pStyle w:val="5"/>
        <w:spacing w:after="120" w:afterLines="50" w:line="360" w:lineRule="auto"/>
        <w:jc w:val="center"/>
        <w:rPr>
          <w:rFonts w:hAnsi="宋体" w:cs="宋体"/>
        </w:rPr>
      </w:pPr>
    </w:p>
    <w:p>
      <w:pPr>
        <w:pStyle w:val="5"/>
        <w:numPr>
          <w:ilvl w:val="1"/>
          <w:numId w:val="1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
        <w:numPr>
          <w:ilvl w:val="1"/>
          <w:numId w:val="1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
        <w:numPr>
          <w:ilvl w:val="1"/>
          <w:numId w:val="1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
        <w:numPr>
          <w:ilvl w:val="1"/>
          <w:numId w:val="1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
        <w:numPr>
          <w:ilvl w:val="1"/>
          <w:numId w:val="1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
        <w:numPr>
          <w:ilvl w:val="1"/>
          <w:numId w:val="1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
        <w:numPr>
          <w:ilvl w:val="1"/>
          <w:numId w:val="1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5"/>
        <w:numPr>
          <w:ilvl w:val="1"/>
          <w:numId w:val="1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90"/>
    <w:bookmarkEnd w:id="91"/>
    <w:bookmarkEnd w:id="92"/>
    <w:bookmarkEnd w:id="93"/>
    <w:bookmarkEnd w:id="94"/>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(2)分项报价表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tbl>
      <w:tblPr>
        <w:tblStyle w:val="15"/>
        <w:tblpPr w:leftFromText="180" w:rightFromText="180" w:vertAnchor="text" w:horzAnchor="page" w:tblpX="1234" w:tblpY="106"/>
        <w:tblOverlap w:val="never"/>
        <w:tblW w:w="10000" w:type="dxa"/>
        <w:tblInd w:w="0" w:type="dxa"/>
        <w:tblLayout w:type="fixed"/>
        <w:tblCellMar>
          <w:top w:w="15" w:type="dxa"/>
          <w:left w:w="15" w:type="dxa"/>
          <w:bottom w:w="15" w:type="dxa"/>
          <w:right w:w="15" w:type="dxa"/>
        </w:tblCellMar>
      </w:tblPr>
      <w:tblGrid>
        <w:gridCol w:w="615"/>
        <w:gridCol w:w="916"/>
        <w:gridCol w:w="2769"/>
        <w:gridCol w:w="1433"/>
        <w:gridCol w:w="538"/>
        <w:gridCol w:w="564"/>
        <w:gridCol w:w="1045"/>
        <w:gridCol w:w="964"/>
        <w:gridCol w:w="1156"/>
      </w:tblGrid>
      <w:tr>
        <w:tblPrEx>
          <w:tblCellMar>
            <w:top w:w="15" w:type="dxa"/>
            <w:left w:w="15" w:type="dxa"/>
            <w:bottom w:w="15" w:type="dxa"/>
            <w:right w:w="15"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序号</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仿宋_GB2312" w:eastAsia="仿宋_GB2312"/>
                <w:b/>
                <w:sz w:val="30"/>
                <w:szCs w:val="30"/>
              </w:rPr>
              <w:t>产品名称</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rPr>
            </w:pPr>
            <w:r>
              <w:rPr>
                <w:rFonts w:ascii="仿宋_GB2312" w:eastAsia="仿宋_GB2312"/>
                <w:b/>
                <w:sz w:val="30"/>
                <w:szCs w:val="30"/>
              </w:rPr>
              <w:t>主要技术规格</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综合单价/元</w:t>
            </w:r>
          </w:p>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（不含税）</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数量</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总价/元</w:t>
            </w:r>
          </w:p>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（不含税）</w:t>
            </w:r>
          </w:p>
        </w:tc>
        <w:tc>
          <w:tcPr>
            <w:tcW w:w="96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税率</w:t>
            </w:r>
          </w:p>
        </w:tc>
        <w:tc>
          <w:tcPr>
            <w:tcW w:w="115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sz w:val="22"/>
                <w:szCs w:val="22"/>
              </w:rPr>
              <w:t>总价/元</w:t>
            </w:r>
          </w:p>
          <w:p>
            <w:pPr>
              <w:widowControl/>
              <w:jc w:val="center"/>
              <w:textAlignment w:val="center"/>
              <w:rPr>
                <w:rFonts w:ascii="宋体" w:hAnsi="宋体" w:eastAsia="宋体" w:cs="宋体"/>
                <w:sz w:val="22"/>
                <w:szCs w:val="22"/>
              </w:rPr>
            </w:pPr>
            <w:r>
              <w:rPr>
                <w:rFonts w:hint="eastAsia" w:ascii="宋体" w:hAnsi="宋体" w:eastAsia="宋体" w:cs="宋体"/>
                <w:sz w:val="22"/>
                <w:szCs w:val="22"/>
              </w:rPr>
              <w:t>（含税）</w:t>
            </w:r>
          </w:p>
        </w:tc>
      </w:tr>
      <w:tr>
        <w:tblPrEx>
          <w:tblCellMar>
            <w:top w:w="15" w:type="dxa"/>
            <w:left w:w="15" w:type="dxa"/>
            <w:bottom w:w="15" w:type="dxa"/>
            <w:right w:w="15" w:type="dxa"/>
          </w:tblCellMar>
        </w:tblPrEx>
        <w:trPr>
          <w:trHeight w:val="7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Theme="minorEastAsia" w:hAnsiTheme="minorEastAsia"/>
                <w:sz w:val="22"/>
                <w:szCs w:val="22"/>
              </w:rPr>
              <w:t>防火门（含五金配件）</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napToGrid w:val="0"/>
              <w:rPr>
                <w:rFonts w:asciiTheme="minorEastAsia" w:hAnsiTheme="minorEastAsia"/>
                <w:sz w:val="22"/>
                <w:szCs w:val="22"/>
              </w:rPr>
            </w:pPr>
            <w:r>
              <w:rPr>
                <w:rFonts w:hint="eastAsia" w:asciiTheme="minorEastAsia" w:hAnsiTheme="minorEastAsia"/>
                <w:sz w:val="22"/>
                <w:szCs w:val="22"/>
              </w:rPr>
              <w:t>甲级钢制防火门（带亮子），</w:t>
            </w:r>
          </w:p>
          <w:p>
            <w:pPr>
              <w:pStyle w:val="3"/>
              <w:snapToGrid w:val="0"/>
              <w:rPr>
                <w:rFonts w:asciiTheme="minorEastAsia" w:hAnsiTheme="minorEastAsia"/>
                <w:sz w:val="22"/>
                <w:szCs w:val="22"/>
              </w:rPr>
            </w:pPr>
            <w:r>
              <w:rPr>
                <w:rFonts w:hint="eastAsia" w:asciiTheme="minorEastAsia" w:hAnsiTheme="minorEastAsia"/>
                <w:sz w:val="22"/>
                <w:szCs w:val="22"/>
              </w:rPr>
              <w:t>耐火性能≥1.5h，</w:t>
            </w:r>
          </w:p>
          <w:p>
            <w:pPr>
              <w:widowControl/>
              <w:jc w:val="left"/>
              <w:textAlignment w:val="center"/>
              <w:rPr>
                <w:rFonts w:ascii="宋体" w:hAnsi="宋体" w:eastAsia="宋体" w:cs="宋体"/>
                <w:kern w:val="0"/>
                <w:sz w:val="22"/>
                <w:szCs w:val="22"/>
              </w:rPr>
            </w:pPr>
            <w:r>
              <w:rPr>
                <w:rFonts w:hint="eastAsia" w:asciiTheme="minorEastAsia" w:hAnsiTheme="minorEastAsia"/>
                <w:sz w:val="22"/>
                <w:szCs w:val="22"/>
              </w:rPr>
              <w:t>防火门总面积约209.5㎡。</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sz w:val="22"/>
                <w:szCs w:val="22"/>
              </w:rPr>
              <w:t>樘</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6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eastAsia="宋体" w:cs="宋体"/>
                <w:sz w:val="22"/>
                <w:szCs w:val="22"/>
              </w:rPr>
            </w:pPr>
          </w:p>
        </w:tc>
        <w:tc>
          <w:tcPr>
            <w:tcW w:w="115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bl>
    <w:p>
      <w:pPr>
        <w:numPr>
          <w:ilvl w:val="255"/>
          <w:numId w:val="0"/>
        </w:numPr>
        <w:adjustRightInd w:val="0"/>
        <w:snapToGrid w:val="0"/>
        <w:spacing w:line="360" w:lineRule="exact"/>
        <w:ind w:left="240" w:leftChars="100"/>
        <w:rPr>
          <w:rFonts w:cs="Calibri" w:asciiTheme="minorEastAsia" w:hAnsiTheme="minorEastAsia"/>
          <w:sz w:val="22"/>
          <w:szCs w:val="22"/>
        </w:rPr>
      </w:pPr>
      <w:r>
        <w:rPr>
          <w:rFonts w:hint="eastAsia" w:ascii="宋体" w:hAnsi="宋体" w:cs="宋体"/>
          <w:sz w:val="22"/>
        </w:rPr>
        <w:t>注：此表的“总计”系所有需招标人支付的投标金额总数即投标总价，投标总价中已包含投标人完成本招标项目的一切费用包括税费。</w:t>
      </w:r>
      <w:r>
        <w:rPr>
          <w:rFonts w:hint="eastAsia" w:cs="Arial" w:asciiTheme="minorEastAsia" w:hAnsiTheme="minorEastAsia"/>
          <w:kern w:val="0"/>
          <w:sz w:val="22"/>
          <w:szCs w:val="22"/>
        </w:rPr>
        <w:t>包括但不限于防火门及五金配件</w:t>
      </w:r>
      <w:r>
        <w:rPr>
          <w:rFonts w:hint="eastAsia" w:cs="Calibri" w:asciiTheme="minorEastAsia" w:hAnsiTheme="minorEastAsia"/>
          <w:sz w:val="22"/>
          <w:szCs w:val="22"/>
        </w:rPr>
        <w:t>的采购、运输（送至招标人指定地点）、安装、售后服务、维修及全部竣工验收资料、</w:t>
      </w:r>
      <w:r>
        <w:rPr>
          <w:rFonts w:hint="eastAsia" w:cs="Arial" w:asciiTheme="minorEastAsia" w:hAnsiTheme="minorEastAsia"/>
          <w:kern w:val="0"/>
          <w:sz w:val="22"/>
          <w:szCs w:val="22"/>
        </w:rPr>
        <w:t>原防火门拆除、外运及垃圾清理（运距自行考虑）、原防火门拆除后门洞（含相连墙体及踢脚线）修补还原，恢复原状等一切费用</w:t>
      </w:r>
    </w:p>
    <w:p>
      <w:pPr>
        <w:spacing w:line="360" w:lineRule="auto"/>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4.2分项报价表</w:t>
      </w:r>
    </w:p>
    <w:tbl>
      <w:tblPr>
        <w:tblStyle w:val="15"/>
        <w:tblW w:w="10225" w:type="dxa"/>
        <w:tblInd w:w="0" w:type="dxa"/>
        <w:tblLayout w:type="fixed"/>
        <w:tblCellMar>
          <w:top w:w="15" w:type="dxa"/>
          <w:left w:w="15" w:type="dxa"/>
          <w:bottom w:w="15" w:type="dxa"/>
          <w:right w:w="15" w:type="dxa"/>
        </w:tblCellMar>
      </w:tblPr>
      <w:tblGrid>
        <w:gridCol w:w="595"/>
        <w:gridCol w:w="1552"/>
        <w:gridCol w:w="1380"/>
        <w:gridCol w:w="1380"/>
        <w:gridCol w:w="937"/>
        <w:gridCol w:w="663"/>
        <w:gridCol w:w="1558"/>
        <w:gridCol w:w="724"/>
        <w:gridCol w:w="724"/>
        <w:gridCol w:w="712"/>
      </w:tblGrid>
      <w:tr>
        <w:tblPrEx>
          <w:tblCellMar>
            <w:top w:w="15" w:type="dxa"/>
            <w:left w:w="15" w:type="dxa"/>
            <w:bottom w:w="15" w:type="dxa"/>
            <w:right w:w="15" w:type="dxa"/>
          </w:tblCellMar>
        </w:tblPrEx>
        <w:trPr>
          <w:trHeight w:val="48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品牌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项目特征</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数量</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单位</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含税综合单价（元）</w:t>
            </w:r>
          </w:p>
        </w:tc>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税率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含税合价（元）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tblPrEx>
          <w:tblCellMar>
            <w:top w:w="15" w:type="dxa"/>
            <w:left w:w="15" w:type="dxa"/>
            <w:bottom w:w="15" w:type="dxa"/>
            <w:right w:w="15" w:type="dxa"/>
          </w:tblCellMar>
        </w:tblPrEx>
        <w:trPr>
          <w:trHeight w:val="1925"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防火门体</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甲级钢制防火门（带亮子），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耐火性能≥1.5h，</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详细参数见第三章  货物需求一览表及技术规格</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209.5</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48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闭门器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sz w:val="22"/>
                <w:szCs w:val="22"/>
              </w:rPr>
              <w:t>防火闭门器使用寿命≥50万次，防火锁、防火合页、防火插销和防火顺位器等五金配件应符合GB12955-2008要求，且耐火极限不低于90min。</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48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顺位器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48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锁具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把</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48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铰链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63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63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p>
        </w:tc>
        <w:tc>
          <w:tcPr>
            <w:tcW w:w="81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合计（不含税）</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63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p>
        </w:tc>
        <w:tc>
          <w:tcPr>
            <w:tcW w:w="81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合计</w:t>
            </w:r>
            <w:r>
              <w:rPr>
                <w:rFonts w:ascii="宋体" w:hAnsi="宋体" w:eastAsia="宋体" w:cs="宋体"/>
                <w:color w:val="000000"/>
                <w:sz w:val="22"/>
                <w:szCs w:val="22"/>
              </w:rPr>
              <w:t>（</w:t>
            </w:r>
            <w:r>
              <w:rPr>
                <w:rFonts w:hint="eastAsia" w:ascii="宋体" w:hAnsi="宋体" w:eastAsia="宋体" w:cs="宋体"/>
                <w:color w:val="000000"/>
                <w:sz w:val="22"/>
                <w:szCs w:val="22"/>
              </w:rPr>
              <w:t>含税</w:t>
            </w:r>
            <w:r>
              <w:rPr>
                <w:rFonts w:ascii="宋体" w:hAnsi="宋体" w:eastAsia="宋体" w:cs="宋体"/>
                <w:color w:val="000000"/>
                <w:sz w:val="22"/>
                <w:szCs w:val="22"/>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此合计应与4.1投标报价汇总表含税总价一致</w:t>
            </w:r>
          </w:p>
        </w:tc>
      </w:tr>
    </w:tbl>
    <w:p>
      <w:pPr>
        <w:spacing w:line="360" w:lineRule="auto"/>
        <w:rPr>
          <w:rFonts w:ascii="宋体" w:hAnsi="宋体" w:cs="宋体"/>
          <w:sz w:val="22"/>
        </w:rPr>
      </w:pPr>
      <w:r>
        <w:rPr>
          <w:rFonts w:hint="eastAsia" w:ascii="宋体" w:hAnsi="宋体" w:cs="宋体"/>
          <w:sz w:val="22"/>
        </w:rPr>
        <w:t>注：</w:t>
      </w:r>
    </w:p>
    <w:p>
      <w:pPr>
        <w:spacing w:line="360" w:lineRule="auto"/>
        <w:rPr>
          <w:rFonts w:ascii="宋体" w:hAnsi="宋体" w:cs="宋体"/>
          <w:sz w:val="22"/>
        </w:rPr>
      </w:pPr>
      <w:r>
        <w:rPr>
          <w:rFonts w:hint="eastAsia" w:ascii="宋体" w:hAnsi="宋体" w:cs="宋体"/>
          <w:sz w:val="22"/>
        </w:rPr>
        <w:t>1.该设备费分项报价表为装置主要构件、配件及相关服务清单报价表</w:t>
      </w:r>
    </w:p>
    <w:p>
      <w:pPr>
        <w:widowControl/>
        <w:tabs>
          <w:tab w:val="left" w:pos="284"/>
        </w:tabs>
        <w:spacing w:line="300" w:lineRule="auto"/>
        <w:rPr>
          <w:rFonts w:ascii="宋体" w:hAnsi="宋体" w:cs="宋体"/>
          <w:sz w:val="22"/>
        </w:rPr>
      </w:pPr>
      <w:r>
        <w:rPr>
          <w:rFonts w:hint="eastAsia" w:ascii="宋体" w:hAnsi="宋体" w:cs="宋体"/>
          <w:sz w:val="22"/>
        </w:rPr>
        <w:t>2.综合单价包括但不限于设备生产、包装、运至指定地点的运输、装卸、保险、安装、调试及各种税费及所有要求的伴随服务等招标文件规定的全部相关费用。</w:t>
      </w:r>
    </w:p>
    <w:p>
      <w:pPr>
        <w:spacing w:line="360" w:lineRule="auto"/>
        <w:rPr>
          <w:rFonts w:ascii="宋体" w:hAnsi="宋体" w:cs="宋体"/>
          <w:sz w:val="22"/>
        </w:rPr>
      </w:pPr>
    </w:p>
    <w:p>
      <w:pPr>
        <w:spacing w:line="440" w:lineRule="exact"/>
        <w:jc w:val="center"/>
        <w:rPr>
          <w:rFonts w:ascii="宋体" w:hAnsi="宋体" w:cs="Arial"/>
          <w:b/>
          <w:sz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五、</w:t>
      </w:r>
      <w:r>
        <w:rPr>
          <w:rFonts w:ascii="Calibri" w:hAnsi="Calibri" w:eastAsia="黑体" w:cs="Calibri"/>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5"/>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1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6"/>
        </w:numPr>
        <w:adjustRightInd w:val="0"/>
        <w:spacing w:before="120"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r>
        <w:rPr>
          <w:rFonts w:hint="eastAsia" w:ascii="宋体" w:hAnsi="宋体" w:cs="宋体"/>
          <w:sz w:val="22"/>
          <w:szCs w:val="22"/>
          <w:u w:val="single"/>
        </w:rPr>
        <w:t xml:space="preserve">                                                 </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r>
        <w:rPr>
          <w:rFonts w:hint="eastAsia" w:ascii="宋体" w:hAnsi="宋体" w:cs="宋体"/>
          <w:sz w:val="22"/>
          <w:szCs w:val="22"/>
          <w:u w:val="single"/>
        </w:rPr>
        <w:t xml:space="preserve">                                                   </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r>
        <w:rPr>
          <w:rFonts w:hint="eastAsia" w:ascii="宋体" w:hAnsi="宋体" w:cs="宋体"/>
          <w:sz w:val="22"/>
          <w:szCs w:val="22"/>
          <w:u w:val="single"/>
        </w:rPr>
        <w:t xml:space="preserve">                                         </w:t>
      </w:r>
    </w:p>
    <w:p>
      <w:pPr>
        <w:numPr>
          <w:ilvl w:val="0"/>
          <w:numId w:val="17"/>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r>
        <w:rPr>
          <w:rFonts w:hint="eastAsia" w:ascii="宋体" w:hAnsi="宋体" w:cs="宋体"/>
          <w:sz w:val="22"/>
          <w:szCs w:val="22"/>
          <w:u w:val="single"/>
        </w:rPr>
        <w:t xml:space="preserve">                                          </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r>
        <w:rPr>
          <w:rFonts w:hint="eastAsia" w:ascii="宋体" w:hAnsi="宋体" w:cs="宋体"/>
          <w:sz w:val="22"/>
          <w:szCs w:val="22"/>
          <w:u w:val="single"/>
        </w:rPr>
        <w:t xml:space="preserve">                                                   </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日止）</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r>
        <w:rPr>
          <w:rFonts w:hint="eastAsia" w:ascii="宋体" w:hAnsi="宋体" w:cs="宋体"/>
          <w:sz w:val="22"/>
          <w:szCs w:val="22"/>
          <w:u w:val="single"/>
        </w:rPr>
        <w:t xml:space="preserve">                                       </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r>
        <w:rPr>
          <w:rFonts w:hint="eastAsia" w:ascii="宋体" w:hAnsi="宋体" w:cs="宋体"/>
          <w:sz w:val="22"/>
          <w:szCs w:val="22"/>
          <w:u w:val="single"/>
        </w:rPr>
        <w:t xml:space="preserve">                                       </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r>
        <w:rPr>
          <w:rFonts w:hint="eastAsia" w:ascii="宋体" w:hAnsi="宋体" w:cs="宋体"/>
          <w:sz w:val="22"/>
          <w:szCs w:val="22"/>
          <w:u w:val="single"/>
        </w:rPr>
        <w:t xml:space="preserve">                                       </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r>
        <w:rPr>
          <w:rFonts w:hint="eastAsia" w:ascii="宋体" w:hAnsi="宋体" w:cs="宋体"/>
          <w:sz w:val="22"/>
          <w:szCs w:val="22"/>
          <w:u w:val="single"/>
        </w:rPr>
        <w:t xml:space="preserve">                                       </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r>
        <w:rPr>
          <w:rFonts w:hint="eastAsia" w:ascii="宋体" w:hAnsi="宋体" w:cs="宋体"/>
          <w:sz w:val="22"/>
          <w:szCs w:val="22"/>
          <w:u w:val="single"/>
        </w:rPr>
        <w:t xml:space="preserve">                                           </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r>
        <w:rPr>
          <w:rFonts w:hint="eastAsia" w:ascii="宋体" w:hAnsi="宋体" w:cs="宋体"/>
          <w:sz w:val="22"/>
          <w:szCs w:val="22"/>
          <w:u w:val="single"/>
        </w:rPr>
        <w:t xml:space="preserve">                          </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1"/>
          <w:numId w:val="20"/>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1"/>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23"/>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u w:val="single"/>
        </w:rPr>
        <w:br w:type="textWrapping"/>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3"/>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ind w:firstLine="720"/>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3"/>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r>
        <w:rPr>
          <w:rFonts w:hint="eastAsia" w:ascii="宋体" w:hAnsi="宋体" w:cs="宋体"/>
          <w:sz w:val="22"/>
          <w:szCs w:val="22"/>
          <w:u w:val="single"/>
        </w:rPr>
        <w:t xml:space="preserve">                                      </w:t>
      </w:r>
    </w:p>
    <w:p>
      <w:pPr>
        <w:numPr>
          <w:ilvl w:val="0"/>
          <w:numId w:val="23"/>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r>
        <w:rPr>
          <w:rFonts w:hint="eastAsia" w:ascii="宋体" w:hAnsi="宋体" w:cs="宋体"/>
          <w:sz w:val="22"/>
          <w:szCs w:val="22"/>
          <w:u w:val="single"/>
        </w:rPr>
        <w:t xml:space="preserve">                                </w:t>
      </w:r>
    </w:p>
    <w:p>
      <w:pPr>
        <w:numPr>
          <w:ilvl w:val="0"/>
          <w:numId w:val="23"/>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r>
        <w:rPr>
          <w:rFonts w:hint="eastAsia" w:ascii="宋体" w:hAnsi="宋体" w:cs="宋体"/>
          <w:sz w:val="22"/>
          <w:szCs w:val="22"/>
          <w:u w:val="single"/>
        </w:rPr>
        <w:t xml:space="preserve">                                                      </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r>
        <w:rPr>
          <w:rFonts w:hint="eastAsia" w:ascii="宋体" w:hAnsi="宋体" w:cs="宋体"/>
          <w:sz w:val="22"/>
          <w:szCs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r>
        <w:rPr>
          <w:rFonts w:hint="eastAsia" w:ascii="宋体" w:hAnsi="宋体" w:cs="宋体"/>
          <w:b/>
          <w:sz w:val="32"/>
          <w:szCs w:val="32"/>
        </w:rPr>
        <w:t>（三）近三年的销售业绩一览表</w:t>
      </w:r>
    </w:p>
    <w:tbl>
      <w:tblPr>
        <w:tblStyle w:val="15"/>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5"/>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六、技术规格偏离表</w:t>
      </w:r>
    </w:p>
    <w:p>
      <w:pPr>
        <w:spacing w:line="560" w:lineRule="exact"/>
        <w:rPr>
          <w:rFonts w:ascii="宋体" w:hAnsi="宋体"/>
        </w:rPr>
      </w:pPr>
    </w:p>
    <w:tbl>
      <w:tblPr>
        <w:tblStyle w:val="15"/>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5"/>
        <w:adjustRightInd w:val="0"/>
        <w:snapToGrid w:val="0"/>
        <w:spacing w:line="560" w:lineRule="exact"/>
        <w:rPr>
          <w:rFonts w:hAnsi="宋体"/>
          <w:b/>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七、</w:t>
      </w:r>
      <w:r>
        <w:rPr>
          <w:rFonts w:ascii="Calibri" w:hAnsi="Calibri" w:eastAsia="黑体" w:cs="Calibri"/>
          <w:sz w:val="32"/>
          <w:szCs w:val="32"/>
        </w:rPr>
        <w:t>商务条款响应</w:t>
      </w:r>
      <w:r>
        <w:rPr>
          <w:rFonts w:hint="eastAsia" w:ascii="Calibri" w:hAnsi="Calibri" w:eastAsia="黑体" w:cs="Calibri"/>
          <w:sz w:val="32"/>
          <w:szCs w:val="32"/>
        </w:rPr>
        <w:t>偏离</w:t>
      </w:r>
      <w:r>
        <w:rPr>
          <w:rFonts w:ascii="Calibri" w:hAnsi="Calibri" w:eastAsia="黑体" w:cs="Calibri"/>
          <w:sz w:val="32"/>
          <w:szCs w:val="32"/>
        </w:rPr>
        <w:t>表</w:t>
      </w:r>
    </w:p>
    <w:tbl>
      <w:tblPr>
        <w:tblStyle w:val="15"/>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r>
              <w:rPr>
                <w:rFonts w:hAnsi="宋体"/>
                <w:kern w:val="2"/>
                <w:sz w:val="21"/>
              </w:rPr>
              <w:t>序号</w:t>
            </w:r>
          </w:p>
        </w:tc>
        <w:tc>
          <w:tcPr>
            <w:tcW w:w="900" w:type="dxa"/>
            <w:vAlign w:val="center"/>
          </w:tcPr>
          <w:p>
            <w:pPr>
              <w:pStyle w:val="5"/>
              <w:adjustRightInd w:val="0"/>
              <w:snapToGrid w:val="0"/>
              <w:jc w:val="center"/>
              <w:rPr>
                <w:rFonts w:hAnsi="宋体"/>
                <w:kern w:val="2"/>
                <w:sz w:val="21"/>
              </w:rPr>
            </w:pPr>
            <w:r>
              <w:rPr>
                <w:rFonts w:hAnsi="宋体"/>
                <w:kern w:val="2"/>
                <w:sz w:val="21"/>
              </w:rPr>
              <w:t>内容</w:t>
            </w:r>
          </w:p>
        </w:tc>
        <w:tc>
          <w:tcPr>
            <w:tcW w:w="3510" w:type="dxa"/>
            <w:vAlign w:val="center"/>
          </w:tcPr>
          <w:p>
            <w:pPr>
              <w:pStyle w:val="5"/>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5"/>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5"/>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bl>
    <w:p>
      <w:pPr>
        <w:pStyle w:val="5"/>
        <w:adjustRightInd w:val="0"/>
        <w:snapToGrid w:val="0"/>
        <w:spacing w:line="560" w:lineRule="exact"/>
        <w:rPr>
          <w:rFonts w:hAnsi="宋体"/>
          <w:bCs/>
          <w:sz w:val="24"/>
          <w:szCs w:val="24"/>
        </w:rPr>
      </w:pPr>
    </w:p>
    <w:p>
      <w:pPr>
        <w:pStyle w:val="5"/>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5"/>
        <w:adjustRightInd w:val="0"/>
        <w:snapToGrid w:val="0"/>
        <w:spacing w:line="560" w:lineRule="exact"/>
        <w:rPr>
          <w:rFonts w:hAnsi="宋体"/>
          <w:bCs/>
          <w:sz w:val="24"/>
          <w:szCs w:val="24"/>
        </w:rPr>
      </w:pPr>
    </w:p>
    <w:p>
      <w:pPr>
        <w:widowControl/>
        <w:jc w:val="left"/>
        <w:rPr>
          <w:rFonts w:ascii="Calibri" w:hAnsi="Calibri" w:eastAsia="黑体" w:cs="Calibri"/>
          <w:sz w:val="32"/>
          <w:szCs w:val="32"/>
        </w:rPr>
      </w:pPr>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华文仿宋"/>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8"/>
          <w:jc w:val="center"/>
        </w:pPr>
        <w:r>
          <w:fldChar w:fldCharType="begin"/>
        </w:r>
        <w:r>
          <w:instrText xml:space="preserve"> PAGE   \* MERGEFORMAT </w:instrText>
        </w:r>
        <w:r>
          <w:fldChar w:fldCharType="separate"/>
        </w:r>
        <w:r>
          <w:rPr>
            <w:lang w:val="zh-CN"/>
          </w:rPr>
          <w:t>-</w:t>
        </w:r>
        <w:r>
          <w:t xml:space="preserve"> 27 -</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杭州萧山国际机场员工集体宿舍防火门更换项目招标文件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0E6B94"/>
    <w:multiLevelType w:val="singleLevel"/>
    <w:tmpl w:val="AE0E6B94"/>
    <w:lvl w:ilvl="0" w:tentative="0">
      <w:start w:val="3"/>
      <w:numFmt w:val="chineseCounting"/>
      <w:suff w:val="nothing"/>
      <w:lvlText w:val="%1、"/>
      <w:lvlJc w:val="left"/>
      <w:rPr>
        <w:rFonts w:hint="eastAsia"/>
      </w:rPr>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17F97CFA"/>
    <w:multiLevelType w:val="singleLevel"/>
    <w:tmpl w:val="17F97CFA"/>
    <w:lvl w:ilvl="0" w:tentative="0">
      <w:start w:val="1"/>
      <w:numFmt w:val="chineseCounting"/>
      <w:suff w:val="nothing"/>
      <w:lvlText w:val="（%1）"/>
      <w:lvlJc w:val="left"/>
      <w:rPr>
        <w:rFonts w:hint="eastAsia"/>
      </w:r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5">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6">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5D22EF64"/>
    <w:multiLevelType w:val="singleLevel"/>
    <w:tmpl w:val="5D22EF64"/>
    <w:lvl w:ilvl="0" w:tentative="0">
      <w:start w:val="1"/>
      <w:numFmt w:val="decimal"/>
      <w:suff w:val="nothing"/>
      <w:lvlText w:val="%1、"/>
      <w:lvlJc w:val="left"/>
    </w:lvl>
  </w:abstractNum>
  <w:abstractNum w:abstractNumId="18">
    <w:nsid w:val="5D2401F3"/>
    <w:multiLevelType w:val="singleLevel"/>
    <w:tmpl w:val="5D2401F3"/>
    <w:lvl w:ilvl="0" w:tentative="0">
      <w:start w:val="1"/>
      <w:numFmt w:val="decimal"/>
      <w:suff w:val="nothing"/>
      <w:lvlText w:val="%1、"/>
      <w:lvlJc w:val="left"/>
    </w:lvl>
  </w:abstractNum>
  <w:abstractNum w:abstractNumId="19">
    <w:nsid w:val="5D245189"/>
    <w:multiLevelType w:val="singleLevel"/>
    <w:tmpl w:val="5D245189"/>
    <w:lvl w:ilvl="0" w:tentative="0">
      <w:start w:val="3"/>
      <w:numFmt w:val="decimal"/>
      <w:suff w:val="nothing"/>
      <w:lvlText w:val="%1、"/>
      <w:lvlJc w:val="left"/>
    </w:lvl>
  </w:abstractNum>
  <w:abstractNum w:abstractNumId="20">
    <w:nsid w:val="5D255A38"/>
    <w:multiLevelType w:val="singleLevel"/>
    <w:tmpl w:val="5D255A38"/>
    <w:lvl w:ilvl="0" w:tentative="0">
      <w:start w:val="4"/>
      <w:numFmt w:val="decimal"/>
      <w:suff w:val="nothing"/>
      <w:lvlText w:val="（%1）"/>
      <w:lvlJc w:val="left"/>
    </w:lvl>
  </w:abstractNum>
  <w:abstractNum w:abstractNumId="21">
    <w:nsid w:val="5D255A56"/>
    <w:multiLevelType w:val="singleLevel"/>
    <w:tmpl w:val="5D255A56"/>
    <w:lvl w:ilvl="0" w:tentative="0">
      <w:start w:val="4"/>
      <w:numFmt w:val="decimal"/>
      <w:suff w:val="nothing"/>
      <w:lvlText w:val="%1、"/>
      <w:lvlJc w:val="left"/>
    </w:lvl>
  </w:abstractNum>
  <w:abstractNum w:abstractNumId="22">
    <w:nsid w:val="5D2D8160"/>
    <w:multiLevelType w:val="singleLevel"/>
    <w:tmpl w:val="5D2D8160"/>
    <w:lvl w:ilvl="0" w:tentative="0">
      <w:start w:val="1"/>
      <w:numFmt w:val="decimal"/>
      <w:suff w:val="nothing"/>
      <w:lvlText w:val="（%1）"/>
      <w:lvlJc w:val="left"/>
    </w:lvl>
  </w:abstractNum>
  <w:num w:numId="1">
    <w:abstractNumId w:val="17"/>
  </w:num>
  <w:num w:numId="2">
    <w:abstractNumId w:val="18"/>
  </w:num>
  <w:num w:numId="3">
    <w:abstractNumId w:val="0"/>
  </w:num>
  <w:num w:numId="4">
    <w:abstractNumId w:val="12"/>
  </w:num>
  <w:num w:numId="5">
    <w:abstractNumId w:val="19"/>
  </w:num>
  <w:num w:numId="6">
    <w:abstractNumId w:val="20"/>
  </w:num>
  <w:num w:numId="7">
    <w:abstractNumId w:val="21"/>
  </w:num>
  <w:num w:numId="8">
    <w:abstractNumId w:val="22"/>
  </w:num>
  <w:num w:numId="9">
    <w:abstractNumId w:val="16"/>
  </w:num>
  <w:num w:numId="10">
    <w:abstractNumId w:val="2"/>
  </w:num>
  <w:num w:numId="11">
    <w:abstractNumId w:val="13"/>
    <w:lvlOverride w:ilvl="0">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num>
  <w:num w:numId="16">
    <w:abstractNumId w:val="6"/>
  </w:num>
  <w:num w:numId="17">
    <w:abstractNumId w:val="8"/>
  </w:num>
  <w:num w:numId="18">
    <w:abstractNumId w:val="4"/>
  </w:num>
  <w:num w:numId="19">
    <w:abstractNumId w:val="1"/>
  </w:num>
  <w:num w:numId="20">
    <w:abstractNumId w:val="3"/>
  </w:num>
  <w:num w:numId="21">
    <w:abstractNumId w:val="10"/>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76F13"/>
    <w:rsid w:val="2BD61856"/>
    <w:rsid w:val="48B24322"/>
    <w:rsid w:val="4E10599A"/>
    <w:rsid w:val="681E57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ody Text"/>
    <w:basedOn w:val="1"/>
    <w:link w:val="25"/>
    <w:unhideWhenUsed/>
    <w:qFormat/>
    <w:uiPriority w:val="0"/>
    <w:pPr>
      <w:spacing w:after="120"/>
    </w:pPr>
  </w:style>
  <w:style w:type="paragraph" w:styleId="5">
    <w:name w:val="Plain Text"/>
    <w:basedOn w:val="1"/>
    <w:qFormat/>
    <w:uiPriority w:val="0"/>
    <w:rPr>
      <w:rFonts w:ascii="宋体" w:hAnsi="Courier New" w:eastAsia="宋体" w:cs="Times New Roman"/>
      <w:kern w:val="0"/>
      <w:sz w:val="20"/>
      <w:szCs w:val="21"/>
    </w:rPr>
  </w:style>
  <w:style w:type="paragraph" w:styleId="6">
    <w:name w:val="Body Text Indent 2"/>
    <w:basedOn w:val="1"/>
    <w:qFormat/>
    <w:uiPriority w:val="0"/>
    <w:pPr>
      <w:spacing w:after="120" w:line="480" w:lineRule="auto"/>
      <w:ind w:left="420" w:leftChars="200"/>
    </w:pPr>
    <w:rPr>
      <w:rFonts w:ascii="Times New Roman" w:hAnsi="Times New Roman" w:eastAsia="宋体" w:cs="Times New Roman"/>
      <w:kern w:val="0"/>
      <w:sz w:val="20"/>
    </w:r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10">
    <w:name w:val="toc 1"/>
    <w:basedOn w:val="1"/>
    <w:next w:val="1"/>
    <w:qFormat/>
    <w:uiPriority w:val="0"/>
    <w:pPr>
      <w:adjustRightInd w:val="0"/>
      <w:snapToGrid w:val="0"/>
    </w:pPr>
    <w:rPr>
      <w:rFonts w:ascii="Times New Roman" w:hAnsi="Times New Roman" w:eastAsia="仿宋" w:cs="Times New Roman"/>
      <w:sz w:val="21"/>
    </w:rPr>
  </w:style>
  <w:style w:type="paragraph" w:styleId="11">
    <w:name w:val="Normal (Web)"/>
    <w:basedOn w:val="1"/>
    <w:qFormat/>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2">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13">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styleId="14">
    <w:name w:val="annotation subject"/>
    <w:basedOn w:val="3"/>
    <w:next w:val="3"/>
    <w:link w:val="24"/>
    <w:qFormat/>
    <w:uiPriority w:val="0"/>
    <w:rPr>
      <w:b/>
      <w:bCs/>
    </w:rPr>
  </w:style>
  <w:style w:type="character" w:styleId="17">
    <w:name w:val="page number"/>
    <w:basedOn w:val="16"/>
    <w:qFormat/>
    <w:uiPriority w:val="0"/>
    <w:rPr>
      <w:rFonts w:ascii="Times New Roman" w:hAnsi="Times New Roman" w:eastAsia="宋体" w:cs="Times New Roman"/>
      <w:lang w:val="en-US" w:eastAsia="zh-CN" w:bidi="ar-SA"/>
    </w:rPr>
  </w:style>
  <w:style w:type="character" w:styleId="18">
    <w:name w:val="annotation reference"/>
    <w:qFormat/>
    <w:uiPriority w:val="0"/>
    <w:rPr>
      <w:rFonts w:ascii="Times New Roman" w:hAnsi="Times New Roman" w:eastAsia="宋体" w:cs="Times New Roman"/>
      <w:sz w:val="21"/>
      <w:szCs w:val="21"/>
      <w:lang w:val="en-US" w:eastAsia="zh-CN" w:bidi="ar-SA"/>
    </w:rPr>
  </w:style>
  <w:style w:type="character" w:customStyle="1" w:styleId="19">
    <w:name w:val="zbggmain style9"/>
    <w:basedOn w:val="16"/>
    <w:qFormat/>
    <w:uiPriority w:val="0"/>
    <w:rPr>
      <w:rFonts w:ascii="Times New Roman" w:hAnsi="Times New Roman" w:eastAsia="宋体" w:cs="Times New Roman"/>
      <w:lang w:val="en-US" w:eastAsia="zh-CN" w:bidi="ar-SA"/>
    </w:r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character" w:customStyle="1" w:styleId="22">
    <w:name w:val="批注框文本 字符"/>
    <w:basedOn w:val="16"/>
    <w:link w:val="7"/>
    <w:qFormat/>
    <w:uiPriority w:val="0"/>
    <w:rPr>
      <w:rFonts w:ascii="Times New Roman" w:hAnsi="Times New Roman" w:eastAsia="宋体" w:cs="Times New Roman"/>
      <w:sz w:val="18"/>
      <w:szCs w:val="18"/>
      <w:lang w:val="en-US" w:eastAsia="zh-CN" w:bidi="ar-SA"/>
    </w:rPr>
  </w:style>
  <w:style w:type="character" w:customStyle="1" w:styleId="23">
    <w:name w:val="批注文字 字符"/>
    <w:basedOn w:val="16"/>
    <w:link w:val="3"/>
    <w:qFormat/>
    <w:uiPriority w:val="0"/>
    <w:rPr>
      <w:rFonts w:ascii="Times New Roman" w:hAnsi="Times New Roman" w:eastAsia="宋体" w:cs="Times New Roman"/>
      <w:lang w:val="en-US" w:eastAsia="zh-CN" w:bidi="ar-SA"/>
    </w:rPr>
  </w:style>
  <w:style w:type="character" w:customStyle="1" w:styleId="24">
    <w:name w:val="批注主题 字符"/>
    <w:basedOn w:val="23"/>
    <w:link w:val="14"/>
    <w:qFormat/>
    <w:uiPriority w:val="0"/>
    <w:rPr>
      <w:b/>
      <w:bCs/>
    </w:rPr>
  </w:style>
  <w:style w:type="character" w:customStyle="1" w:styleId="25">
    <w:name w:val="正文文本 字符"/>
    <w:basedOn w:val="16"/>
    <w:link w:val="4"/>
    <w:semiHidden/>
    <w:qFormat/>
    <w:uiPriority w:val="0"/>
    <w:rPr>
      <w:rFonts w:ascii="Times New Roman" w:hAnsi="Times New Roman" w:eastAsia="宋体" w:cs="Times New Roman"/>
      <w:lang w:val="en-US" w:eastAsia="zh-CN" w:bidi="ar-SA"/>
    </w:rPr>
  </w:style>
  <w:style w:type="paragraph" w:customStyle="1" w:styleId="26">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4487</Words>
  <Characters>25576</Characters>
  <Lines>213</Lines>
  <Paragraphs>60</Paragraphs>
  <TotalTime>0</TotalTime>
  <ScaleCrop>false</ScaleCrop>
  <LinksUpToDate>false</LinksUpToDate>
  <CharactersWithSpaces>30003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2019-07-05T06:00:00Z</dcterms:created>
  <dc:creator>罗利维</dc:creator>
  <cp:lastModifiedBy>贾思勰</cp:lastModifiedBy>
  <cp:lastPrinted>2019-09-25T07:04:00Z</cp:lastPrinted>
  <dcterms:modified xsi:type="dcterms:W3CDTF">2019-11-08T07:58:50Z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