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不正常行李赔偿用行李箱供应商选聘项目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snapToGrid w:val="0"/>
        <w:ind w:firstLine="1257" w:firstLineChars="393"/>
        <w:rPr>
          <w:rFonts w:eastAsia="黑体" w:cs="Calibri"/>
          <w:sz w:val="32"/>
          <w:szCs w:val="32"/>
        </w:rPr>
      </w:pPr>
    </w:p>
    <w:p>
      <w:pPr>
        <w:ind w:firstLine="1078" w:firstLineChars="337"/>
        <w:jc w:val="cente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w:t>
      </w:r>
      <w:r>
        <w:rPr>
          <w:rFonts w:hint="eastAsia" w:ascii="Calibri" w:hAnsi="Calibri" w:eastAsia="黑体" w:cs="Calibri"/>
          <w:sz w:val="32"/>
          <w:szCs w:val="32"/>
        </w:rPr>
        <w:t xml:space="preserve">一九年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pStyle w:val="11"/>
        <w:tabs>
          <w:tab w:val="right" w:leader="dot" w:pos="8306"/>
        </w:tabs>
      </w:pPr>
      <w:r>
        <w:rPr>
          <w:b/>
          <w:sz w:val="44"/>
          <w:szCs w:val="44"/>
        </w:rPr>
        <w:fldChar w:fldCharType="begin"/>
      </w:r>
      <w:r>
        <w:rPr>
          <w:b/>
          <w:sz w:val="44"/>
          <w:szCs w:val="44"/>
        </w:rPr>
        <w:instrText xml:space="preserve"> TOC \o "1-1" \h \z \u </w:instrText>
      </w:r>
      <w:r>
        <w:rPr>
          <w:b/>
          <w:sz w:val="44"/>
          <w:szCs w:val="44"/>
        </w:rPr>
        <w:fldChar w:fldCharType="separate"/>
      </w:r>
      <w:r>
        <w:fldChar w:fldCharType="begin"/>
      </w:r>
      <w:r>
        <w:instrText xml:space="preserve"> HYPERLINK \l "_Toc19404" </w:instrText>
      </w:r>
      <w:r>
        <w:fldChar w:fldCharType="separate"/>
      </w:r>
      <w:r>
        <w:rPr>
          <w:rFonts w:hint="eastAsia"/>
        </w:rPr>
        <w:t>第一章  招标公告</w:t>
      </w:r>
      <w:r>
        <w:tab/>
      </w:r>
      <w:r>
        <w:fldChar w:fldCharType="end"/>
      </w:r>
    </w:p>
    <w:p>
      <w:pPr>
        <w:pStyle w:val="11"/>
        <w:tabs>
          <w:tab w:val="right" w:leader="dot" w:pos="8306"/>
        </w:tabs>
      </w:pPr>
      <w:r>
        <w:fldChar w:fldCharType="begin"/>
      </w:r>
      <w:r>
        <w:instrText xml:space="preserve"> HYPERLINK \l "_Toc1405" </w:instrText>
      </w:r>
      <w:r>
        <w:fldChar w:fldCharType="separate"/>
      </w:r>
      <w:r>
        <w:t>第</w:t>
      </w:r>
      <w:r>
        <w:rPr>
          <w:rFonts w:hint="eastAsia"/>
        </w:rPr>
        <w:t>二</w:t>
      </w:r>
      <w:r>
        <w:t>章</w:t>
      </w:r>
      <w:r>
        <w:rPr>
          <w:rFonts w:hint="eastAsia"/>
        </w:rPr>
        <w:t xml:space="preserve">  </w:t>
      </w:r>
      <w:r>
        <w:t>投标</w:t>
      </w:r>
      <w:r>
        <w:rPr>
          <w:rFonts w:hint="eastAsia"/>
        </w:rPr>
        <w:t>人须知</w:t>
      </w:r>
      <w:r>
        <w:tab/>
      </w:r>
      <w:r>
        <w:fldChar w:fldCharType="end"/>
      </w:r>
    </w:p>
    <w:p>
      <w:pPr>
        <w:pStyle w:val="11"/>
        <w:tabs>
          <w:tab w:val="right" w:leader="dot" w:pos="8306"/>
        </w:tabs>
      </w:pPr>
      <w:r>
        <w:fldChar w:fldCharType="begin"/>
      </w:r>
      <w:r>
        <w:instrText xml:space="preserve"> HYPERLINK \l "_Toc30766" </w:instrText>
      </w:r>
      <w:r>
        <w:fldChar w:fldCharType="separate"/>
      </w:r>
      <w:r>
        <w:t>第</w:t>
      </w:r>
      <w:r>
        <w:rPr>
          <w:rFonts w:hint="eastAsia"/>
        </w:rPr>
        <w:t>三</w:t>
      </w:r>
      <w:r>
        <w:t>章</w:t>
      </w:r>
      <w:r>
        <w:rPr>
          <w:rFonts w:hint="eastAsia"/>
        </w:rPr>
        <w:t xml:space="preserve">  </w:t>
      </w:r>
      <w:r>
        <w:t>货物需求一览表及技术规格</w:t>
      </w:r>
      <w:r>
        <w:tab/>
      </w:r>
      <w:r>
        <w:fldChar w:fldCharType="end"/>
      </w:r>
    </w:p>
    <w:p>
      <w:pPr>
        <w:pStyle w:val="11"/>
        <w:tabs>
          <w:tab w:val="right" w:leader="dot" w:pos="8306"/>
        </w:tabs>
      </w:pPr>
      <w:r>
        <w:fldChar w:fldCharType="begin"/>
      </w:r>
      <w:r>
        <w:instrText xml:space="preserve"> HYPERLINK \l "_Toc6653" </w:instrText>
      </w:r>
      <w:r>
        <w:fldChar w:fldCharType="separate"/>
      </w:r>
      <w:r>
        <w:t>第</w:t>
      </w:r>
      <w:r>
        <w:rPr>
          <w:rFonts w:hint="eastAsia"/>
        </w:rPr>
        <w:t>四</w:t>
      </w:r>
      <w:r>
        <w:t>章</w:t>
      </w:r>
      <w:r>
        <w:rPr>
          <w:rFonts w:hint="eastAsia"/>
        </w:rPr>
        <w:t xml:space="preserve">  </w:t>
      </w:r>
      <w:r>
        <w:t>合同条款</w:t>
      </w:r>
      <w:r>
        <w:tab/>
      </w:r>
      <w:r>
        <w:fldChar w:fldCharType="end"/>
      </w:r>
    </w:p>
    <w:p>
      <w:pPr>
        <w:pStyle w:val="11"/>
        <w:tabs>
          <w:tab w:val="right" w:leader="dot" w:pos="8306"/>
        </w:tabs>
      </w:pPr>
      <w:r>
        <w:fldChar w:fldCharType="begin"/>
      </w:r>
      <w:r>
        <w:instrText xml:space="preserve"> HYPERLINK \l "_Toc18246" </w:instrText>
      </w:r>
      <w:r>
        <w:fldChar w:fldCharType="separate"/>
      </w:r>
      <w:r>
        <w:t>第</w:t>
      </w:r>
      <w:r>
        <w:rPr>
          <w:rFonts w:hint="eastAsia"/>
        </w:rPr>
        <w:t>五</w:t>
      </w:r>
      <w:r>
        <w:t>章</w:t>
      </w:r>
      <w:r>
        <w:rPr>
          <w:rFonts w:hint="eastAsia"/>
        </w:rPr>
        <w:t xml:space="preserve">  </w:t>
      </w:r>
      <w:r>
        <w:t>评标</w:t>
      </w:r>
      <w:r>
        <w:rPr>
          <w:rFonts w:hint="eastAsia"/>
        </w:rPr>
        <w:t>方法</w:t>
      </w:r>
      <w:r>
        <w:t>及标准</w:t>
      </w:r>
      <w:r>
        <w:tab/>
      </w:r>
      <w:r>
        <w:fldChar w:fldCharType="end"/>
      </w:r>
      <w:r>
        <w:rPr>
          <w:rFonts w:hint="eastAsia"/>
        </w:rPr>
        <w:t>25</w:t>
      </w:r>
    </w:p>
    <w:p>
      <w:pPr>
        <w:pStyle w:val="11"/>
        <w:tabs>
          <w:tab w:val="right" w:leader="dot" w:pos="8306"/>
        </w:tabs>
      </w:pPr>
      <w:r>
        <w:fldChar w:fldCharType="begin"/>
      </w:r>
      <w:r>
        <w:instrText xml:space="preserve"> HYPERLINK \l "_Toc20784" </w:instrText>
      </w:r>
      <w:r>
        <w:fldChar w:fldCharType="separate"/>
      </w:r>
      <w:r>
        <w:t>第</w:t>
      </w:r>
      <w:r>
        <w:rPr>
          <w:rFonts w:hint="eastAsia"/>
        </w:rPr>
        <w:t>六</w:t>
      </w:r>
      <w:r>
        <w:t>章  投标文件格式</w:t>
      </w:r>
      <w:r>
        <w:tab/>
      </w:r>
      <w:r>
        <w:fldChar w:fldCharType="end"/>
      </w:r>
      <w:r>
        <w:rPr>
          <w:rFonts w:hint="eastAsia"/>
        </w:rPr>
        <w:t>28</w:t>
      </w:r>
    </w:p>
    <w:p>
      <w:pPr>
        <w:tabs>
          <w:tab w:val="right" w:leader="dot" w:pos="8222"/>
        </w:tabs>
        <w:spacing w:line="360" w:lineRule="auto"/>
        <w:rPr>
          <w:b/>
          <w:sz w:val="24"/>
        </w:rPr>
      </w:pPr>
      <w:r>
        <w:rPr>
          <w:szCs w:val="44"/>
        </w:rPr>
        <w:fldChar w:fldCharType="end"/>
      </w:r>
    </w:p>
    <w:p>
      <w:pPr>
        <w:spacing w:line="560" w:lineRule="exact"/>
        <w:rPr>
          <w:b/>
          <w:sz w:val="24"/>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14"/>
      </w:pPr>
      <w:bookmarkStart w:id="0" w:name="_Toc18560"/>
      <w:bookmarkStart w:id="1" w:name="_Toc9899"/>
      <w:bookmarkStart w:id="2" w:name="_Toc12330"/>
      <w:bookmarkStart w:id="3" w:name="_Toc22576"/>
      <w:bookmarkStart w:id="4" w:name="_Toc19404"/>
      <w:r>
        <w:rPr>
          <w:rFonts w:hint="eastAsia"/>
        </w:rPr>
        <w:t>第一章招标公告</w:t>
      </w:r>
      <w:bookmarkEnd w:id="0"/>
      <w:bookmarkEnd w:id="1"/>
      <w:bookmarkEnd w:id="2"/>
      <w:bookmarkEnd w:id="3"/>
      <w:bookmarkEnd w:id="4"/>
    </w:p>
    <w:p>
      <w:pPr>
        <w:widowControl/>
        <w:snapToGrid w:val="0"/>
        <w:spacing w:line="360" w:lineRule="exact"/>
        <w:jc w:val="left"/>
        <w:rPr>
          <w:rFonts w:ascii="Arial" w:hAnsi="Arial" w:cs="Arial"/>
          <w:kern w:val="0"/>
          <w:sz w:val="22"/>
        </w:rPr>
      </w:pPr>
      <w:r>
        <w:rPr>
          <w:rFonts w:hint="eastAsia" w:ascii="Arial" w:hAnsi="Arial"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杭州萧山国际机场有限公司就杭州萧山国际机场不正常行李赔偿用行李箱供应商选聘项目进行公开招标，欢迎符合资格要求的供应商参与投标。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招标货物名称、服务期、主要规格及要求等</w:t>
      </w:r>
    </w:p>
    <w:tbl>
      <w:tblPr>
        <w:tblStyle w:val="17"/>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549"/>
        <w:gridCol w:w="1343"/>
        <w:gridCol w:w="1022"/>
        <w:gridCol w:w="834"/>
        <w:gridCol w:w="1050"/>
        <w:gridCol w:w="1374"/>
        <w:gridCol w:w="83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1549"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材质</w:t>
            </w:r>
          </w:p>
        </w:tc>
        <w:tc>
          <w:tcPr>
            <w:tcW w:w="1343"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尺寸（寸）</w:t>
            </w:r>
          </w:p>
        </w:tc>
        <w:tc>
          <w:tcPr>
            <w:tcW w:w="102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年参考</w:t>
            </w:r>
          </w:p>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用量</w:t>
            </w:r>
          </w:p>
        </w:tc>
        <w:tc>
          <w:tcPr>
            <w:tcW w:w="8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050"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服务期</w:t>
            </w:r>
          </w:p>
        </w:tc>
        <w:tc>
          <w:tcPr>
            <w:tcW w:w="137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供货数量及交货时间</w:t>
            </w:r>
          </w:p>
        </w:tc>
        <w:tc>
          <w:tcPr>
            <w:tcW w:w="830"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主要规格及要求</w:t>
            </w:r>
          </w:p>
        </w:tc>
        <w:tc>
          <w:tcPr>
            <w:tcW w:w="1010"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需求供应商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9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w:t>
            </w:r>
          </w:p>
        </w:tc>
        <w:tc>
          <w:tcPr>
            <w:tcW w:w="1549"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牛津帆布万向轮拉杆箱</w:t>
            </w:r>
          </w:p>
        </w:tc>
        <w:tc>
          <w:tcPr>
            <w:tcW w:w="1343"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02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834"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个</w:t>
            </w:r>
          </w:p>
        </w:tc>
        <w:tc>
          <w:tcPr>
            <w:tcW w:w="1050"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2020年1月1日至2022年12月31日</w:t>
            </w:r>
          </w:p>
        </w:tc>
        <w:tc>
          <w:tcPr>
            <w:tcW w:w="1374" w:type="dxa"/>
            <w:vMerge w:val="restart"/>
            <w:vAlign w:val="center"/>
          </w:tcPr>
          <w:p>
            <w:pPr>
              <w:widowControl/>
              <w:adjustRightInd w:val="0"/>
              <w:snapToGrid w:val="0"/>
              <w:spacing w:line="360" w:lineRule="exact"/>
              <w:rPr>
                <w:rFonts w:ascii="宋体" w:hAnsi="宋体" w:cs="Arial"/>
                <w:kern w:val="0"/>
                <w:sz w:val="22"/>
              </w:rPr>
            </w:pPr>
            <w:r>
              <w:rPr>
                <w:rFonts w:hint="eastAsia" w:ascii="宋体" w:hAnsi="宋体" w:cs="Calibri"/>
                <w:kern w:val="0"/>
                <w:sz w:val="22"/>
              </w:rPr>
              <w:t>实时响应叫货，</w:t>
            </w:r>
            <w:r>
              <w:rPr>
                <w:rFonts w:hint="eastAsia" w:ascii="宋体" w:hAnsi="宋体" w:cs="Calibri"/>
                <w:b/>
                <w:bCs/>
                <w:kern w:val="0"/>
                <w:sz w:val="22"/>
              </w:rPr>
              <w:t>单次交货时间</w:t>
            </w:r>
            <w:r>
              <w:rPr>
                <w:rFonts w:hint="eastAsia" w:ascii="宋体" w:hAnsi="宋体" w:cs="Calibri"/>
                <w:kern w:val="0"/>
                <w:sz w:val="22"/>
              </w:rPr>
              <w:t>：每次</w:t>
            </w:r>
            <w:r>
              <w:rPr>
                <w:rFonts w:hint="eastAsia" w:ascii="宋体" w:hAnsi="宋体" w:cs="Arial"/>
                <w:kern w:val="0"/>
                <w:sz w:val="22"/>
              </w:rPr>
              <w:t>按实际供货指令交货，单次交货时间不得超过收到供货指令后</w:t>
            </w:r>
            <w:r>
              <w:rPr>
                <w:rFonts w:hint="eastAsia" w:ascii="宋体" w:hAnsi="宋体" w:cs="Arial"/>
                <w:b/>
                <w:bCs/>
                <w:kern w:val="0"/>
                <w:sz w:val="22"/>
                <w:u w:val="single"/>
              </w:rPr>
              <w:t>10</w:t>
            </w:r>
            <w:r>
              <w:rPr>
                <w:rFonts w:hint="eastAsia" w:ascii="宋体" w:hAnsi="宋体" w:cs="Arial"/>
                <w:b/>
                <w:bCs/>
                <w:kern w:val="0"/>
                <w:sz w:val="22"/>
              </w:rPr>
              <w:t>日历天</w:t>
            </w:r>
            <w:r>
              <w:rPr>
                <w:rFonts w:hint="eastAsia" w:ascii="宋体" w:hAnsi="宋体" w:cs="Calibri"/>
                <w:kern w:val="0"/>
                <w:sz w:val="22"/>
              </w:rPr>
              <w:t>。</w:t>
            </w:r>
          </w:p>
        </w:tc>
        <w:tc>
          <w:tcPr>
            <w:tcW w:w="830"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详见招标文件第四章</w:t>
            </w:r>
          </w:p>
        </w:tc>
        <w:tc>
          <w:tcPr>
            <w:tcW w:w="1010"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9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w:t>
            </w:r>
          </w:p>
        </w:tc>
        <w:tc>
          <w:tcPr>
            <w:tcW w:w="1549" w:type="dxa"/>
            <w:vMerge w:val="continue"/>
            <w:vAlign w:val="center"/>
          </w:tcPr>
          <w:p>
            <w:pPr>
              <w:widowControl/>
              <w:adjustRightInd w:val="0"/>
              <w:snapToGrid w:val="0"/>
              <w:spacing w:line="360" w:lineRule="exact"/>
              <w:jc w:val="center"/>
              <w:rPr>
                <w:rFonts w:ascii="宋体" w:hAnsi="宋体" w:cs="Arial"/>
                <w:kern w:val="0"/>
                <w:sz w:val="22"/>
              </w:rPr>
            </w:pPr>
          </w:p>
        </w:tc>
        <w:tc>
          <w:tcPr>
            <w:tcW w:w="1343"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02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834" w:type="dxa"/>
            <w:vMerge w:val="continue"/>
            <w:vAlign w:val="center"/>
          </w:tcPr>
          <w:p>
            <w:pPr>
              <w:widowControl/>
              <w:adjustRightInd w:val="0"/>
              <w:snapToGrid w:val="0"/>
              <w:spacing w:line="360" w:lineRule="exact"/>
              <w:jc w:val="center"/>
              <w:rPr>
                <w:rFonts w:ascii="宋体" w:hAnsi="宋体" w:cs="Arial"/>
                <w:kern w:val="0"/>
                <w:sz w:val="22"/>
              </w:rPr>
            </w:pPr>
          </w:p>
        </w:tc>
        <w:tc>
          <w:tcPr>
            <w:tcW w:w="1050" w:type="dxa"/>
            <w:vMerge w:val="continue"/>
            <w:vAlign w:val="center"/>
          </w:tcPr>
          <w:p>
            <w:pPr>
              <w:widowControl/>
              <w:adjustRightInd w:val="0"/>
              <w:snapToGrid w:val="0"/>
              <w:spacing w:line="360" w:lineRule="exact"/>
              <w:jc w:val="center"/>
              <w:rPr>
                <w:rFonts w:ascii="宋体" w:hAnsi="宋体" w:cs="Arial"/>
                <w:kern w:val="0"/>
                <w:sz w:val="22"/>
              </w:rPr>
            </w:pPr>
          </w:p>
        </w:tc>
        <w:tc>
          <w:tcPr>
            <w:tcW w:w="1374" w:type="dxa"/>
            <w:vMerge w:val="continue"/>
            <w:vAlign w:val="center"/>
          </w:tcPr>
          <w:p>
            <w:pPr>
              <w:widowControl/>
              <w:adjustRightInd w:val="0"/>
              <w:snapToGrid w:val="0"/>
              <w:spacing w:line="360" w:lineRule="exact"/>
              <w:jc w:val="center"/>
              <w:rPr>
                <w:rFonts w:ascii="宋体" w:hAnsi="宋体" w:cs="Arial"/>
                <w:kern w:val="0"/>
                <w:sz w:val="22"/>
              </w:rPr>
            </w:pPr>
          </w:p>
        </w:tc>
        <w:tc>
          <w:tcPr>
            <w:tcW w:w="830" w:type="dxa"/>
            <w:vMerge w:val="continue"/>
            <w:vAlign w:val="center"/>
          </w:tcPr>
          <w:p>
            <w:pPr>
              <w:widowControl/>
              <w:adjustRightInd w:val="0"/>
              <w:snapToGrid w:val="0"/>
              <w:spacing w:line="360" w:lineRule="exact"/>
              <w:jc w:val="center"/>
              <w:rPr>
                <w:rFonts w:ascii="宋体" w:hAnsi="宋体" w:cs="Arial"/>
                <w:kern w:val="0"/>
                <w:sz w:val="22"/>
              </w:rPr>
            </w:pPr>
          </w:p>
        </w:tc>
        <w:tc>
          <w:tcPr>
            <w:tcW w:w="1010"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3</w:t>
            </w:r>
          </w:p>
        </w:tc>
        <w:tc>
          <w:tcPr>
            <w:tcW w:w="1549" w:type="dxa"/>
            <w:vMerge w:val="continue"/>
            <w:vAlign w:val="center"/>
          </w:tcPr>
          <w:p>
            <w:pPr>
              <w:widowControl/>
              <w:adjustRightInd w:val="0"/>
              <w:snapToGrid w:val="0"/>
              <w:spacing w:line="360" w:lineRule="exact"/>
              <w:jc w:val="center"/>
              <w:rPr>
                <w:rFonts w:ascii="宋体" w:hAnsi="宋体" w:cs="Arial"/>
                <w:kern w:val="0"/>
                <w:sz w:val="22"/>
              </w:rPr>
            </w:pPr>
          </w:p>
        </w:tc>
        <w:tc>
          <w:tcPr>
            <w:tcW w:w="1343"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02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600</w:t>
            </w:r>
          </w:p>
        </w:tc>
        <w:tc>
          <w:tcPr>
            <w:tcW w:w="834" w:type="dxa"/>
            <w:vMerge w:val="continue"/>
            <w:vAlign w:val="center"/>
          </w:tcPr>
          <w:p>
            <w:pPr>
              <w:widowControl/>
              <w:adjustRightInd w:val="0"/>
              <w:snapToGrid w:val="0"/>
              <w:spacing w:line="360" w:lineRule="exact"/>
              <w:jc w:val="center"/>
              <w:rPr>
                <w:rFonts w:ascii="宋体" w:hAnsi="宋体" w:cs="Arial"/>
                <w:kern w:val="0"/>
                <w:sz w:val="22"/>
              </w:rPr>
            </w:pPr>
          </w:p>
        </w:tc>
        <w:tc>
          <w:tcPr>
            <w:tcW w:w="1050" w:type="dxa"/>
            <w:vMerge w:val="continue"/>
            <w:vAlign w:val="center"/>
          </w:tcPr>
          <w:p>
            <w:pPr>
              <w:widowControl/>
              <w:adjustRightInd w:val="0"/>
              <w:snapToGrid w:val="0"/>
              <w:spacing w:line="360" w:lineRule="exact"/>
              <w:jc w:val="center"/>
              <w:rPr>
                <w:rFonts w:ascii="宋体" w:hAnsi="宋体" w:cs="Arial"/>
                <w:kern w:val="0"/>
                <w:sz w:val="22"/>
              </w:rPr>
            </w:pPr>
          </w:p>
        </w:tc>
        <w:tc>
          <w:tcPr>
            <w:tcW w:w="1374" w:type="dxa"/>
            <w:vMerge w:val="continue"/>
            <w:vAlign w:val="center"/>
          </w:tcPr>
          <w:p>
            <w:pPr>
              <w:widowControl/>
              <w:adjustRightInd w:val="0"/>
              <w:snapToGrid w:val="0"/>
              <w:spacing w:line="360" w:lineRule="exact"/>
              <w:jc w:val="center"/>
              <w:rPr>
                <w:rFonts w:ascii="宋体" w:hAnsi="宋体" w:cs="Arial"/>
                <w:kern w:val="0"/>
                <w:sz w:val="22"/>
              </w:rPr>
            </w:pPr>
          </w:p>
        </w:tc>
        <w:tc>
          <w:tcPr>
            <w:tcW w:w="830" w:type="dxa"/>
            <w:vMerge w:val="continue"/>
            <w:vAlign w:val="center"/>
          </w:tcPr>
          <w:p>
            <w:pPr>
              <w:widowControl/>
              <w:adjustRightInd w:val="0"/>
              <w:snapToGrid w:val="0"/>
              <w:spacing w:line="360" w:lineRule="exact"/>
              <w:jc w:val="center"/>
              <w:rPr>
                <w:rFonts w:ascii="宋体" w:hAnsi="宋体" w:cs="Arial"/>
                <w:kern w:val="0"/>
                <w:sz w:val="22"/>
              </w:rPr>
            </w:pPr>
          </w:p>
        </w:tc>
        <w:tc>
          <w:tcPr>
            <w:tcW w:w="1010"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4</w:t>
            </w:r>
          </w:p>
        </w:tc>
        <w:tc>
          <w:tcPr>
            <w:tcW w:w="1549"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塑料硬壳万向轮拉杆箱</w:t>
            </w:r>
          </w:p>
        </w:tc>
        <w:tc>
          <w:tcPr>
            <w:tcW w:w="1343"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02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2000</w:t>
            </w:r>
          </w:p>
        </w:tc>
        <w:tc>
          <w:tcPr>
            <w:tcW w:w="834" w:type="dxa"/>
            <w:vMerge w:val="continue"/>
            <w:vAlign w:val="center"/>
          </w:tcPr>
          <w:p>
            <w:pPr>
              <w:widowControl/>
              <w:adjustRightInd w:val="0"/>
              <w:snapToGrid w:val="0"/>
              <w:spacing w:line="360" w:lineRule="exact"/>
              <w:jc w:val="center"/>
              <w:rPr>
                <w:rFonts w:ascii="宋体" w:hAnsi="宋体" w:cs="Arial"/>
                <w:kern w:val="0"/>
                <w:sz w:val="22"/>
              </w:rPr>
            </w:pPr>
          </w:p>
        </w:tc>
        <w:tc>
          <w:tcPr>
            <w:tcW w:w="1050" w:type="dxa"/>
            <w:vMerge w:val="continue"/>
            <w:vAlign w:val="center"/>
          </w:tcPr>
          <w:p>
            <w:pPr>
              <w:widowControl/>
              <w:adjustRightInd w:val="0"/>
              <w:snapToGrid w:val="0"/>
              <w:spacing w:line="360" w:lineRule="exact"/>
              <w:jc w:val="center"/>
              <w:rPr>
                <w:rFonts w:ascii="宋体" w:hAnsi="宋体" w:cs="Arial"/>
                <w:kern w:val="0"/>
                <w:sz w:val="22"/>
              </w:rPr>
            </w:pPr>
          </w:p>
        </w:tc>
        <w:tc>
          <w:tcPr>
            <w:tcW w:w="1374" w:type="dxa"/>
            <w:vMerge w:val="continue"/>
            <w:vAlign w:val="center"/>
          </w:tcPr>
          <w:p>
            <w:pPr>
              <w:widowControl/>
              <w:adjustRightInd w:val="0"/>
              <w:snapToGrid w:val="0"/>
              <w:spacing w:line="360" w:lineRule="exact"/>
              <w:jc w:val="center"/>
              <w:rPr>
                <w:rFonts w:ascii="宋体" w:hAnsi="宋体" w:cs="Arial"/>
                <w:kern w:val="0"/>
                <w:sz w:val="22"/>
              </w:rPr>
            </w:pPr>
          </w:p>
        </w:tc>
        <w:tc>
          <w:tcPr>
            <w:tcW w:w="830" w:type="dxa"/>
            <w:vMerge w:val="continue"/>
            <w:vAlign w:val="center"/>
          </w:tcPr>
          <w:p>
            <w:pPr>
              <w:widowControl/>
              <w:adjustRightInd w:val="0"/>
              <w:snapToGrid w:val="0"/>
              <w:spacing w:line="360" w:lineRule="exact"/>
              <w:jc w:val="center"/>
              <w:rPr>
                <w:rFonts w:ascii="宋体" w:hAnsi="宋体" w:cs="Arial"/>
                <w:kern w:val="0"/>
                <w:sz w:val="22"/>
              </w:rPr>
            </w:pPr>
          </w:p>
        </w:tc>
        <w:tc>
          <w:tcPr>
            <w:tcW w:w="1010"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9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5</w:t>
            </w:r>
          </w:p>
        </w:tc>
        <w:tc>
          <w:tcPr>
            <w:tcW w:w="1549" w:type="dxa"/>
            <w:vMerge w:val="continue"/>
            <w:vAlign w:val="center"/>
          </w:tcPr>
          <w:p>
            <w:pPr>
              <w:widowControl/>
              <w:adjustRightInd w:val="0"/>
              <w:snapToGrid w:val="0"/>
              <w:spacing w:line="360" w:lineRule="exact"/>
              <w:jc w:val="center"/>
              <w:rPr>
                <w:rFonts w:ascii="宋体" w:hAnsi="宋体" w:cs="Arial"/>
                <w:kern w:val="0"/>
                <w:sz w:val="22"/>
              </w:rPr>
            </w:pPr>
          </w:p>
        </w:tc>
        <w:tc>
          <w:tcPr>
            <w:tcW w:w="1343"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02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1500</w:t>
            </w:r>
          </w:p>
        </w:tc>
        <w:tc>
          <w:tcPr>
            <w:tcW w:w="834" w:type="dxa"/>
            <w:vMerge w:val="continue"/>
            <w:vAlign w:val="center"/>
          </w:tcPr>
          <w:p>
            <w:pPr>
              <w:widowControl/>
              <w:adjustRightInd w:val="0"/>
              <w:snapToGrid w:val="0"/>
              <w:spacing w:line="360" w:lineRule="exact"/>
              <w:jc w:val="center"/>
              <w:rPr>
                <w:rFonts w:ascii="宋体" w:hAnsi="宋体" w:cs="Arial"/>
                <w:kern w:val="0"/>
                <w:sz w:val="22"/>
              </w:rPr>
            </w:pPr>
          </w:p>
        </w:tc>
        <w:tc>
          <w:tcPr>
            <w:tcW w:w="1050" w:type="dxa"/>
            <w:vMerge w:val="continue"/>
            <w:vAlign w:val="center"/>
          </w:tcPr>
          <w:p>
            <w:pPr>
              <w:widowControl/>
              <w:adjustRightInd w:val="0"/>
              <w:snapToGrid w:val="0"/>
              <w:spacing w:line="360" w:lineRule="exact"/>
              <w:jc w:val="center"/>
              <w:rPr>
                <w:rFonts w:ascii="宋体" w:hAnsi="宋体" w:cs="Arial"/>
                <w:kern w:val="0"/>
                <w:sz w:val="22"/>
              </w:rPr>
            </w:pPr>
          </w:p>
        </w:tc>
        <w:tc>
          <w:tcPr>
            <w:tcW w:w="1374" w:type="dxa"/>
            <w:vMerge w:val="continue"/>
            <w:vAlign w:val="center"/>
          </w:tcPr>
          <w:p>
            <w:pPr>
              <w:widowControl/>
              <w:adjustRightInd w:val="0"/>
              <w:snapToGrid w:val="0"/>
              <w:spacing w:line="360" w:lineRule="exact"/>
              <w:jc w:val="center"/>
              <w:rPr>
                <w:rFonts w:ascii="宋体" w:hAnsi="宋体" w:cs="Arial"/>
                <w:kern w:val="0"/>
                <w:sz w:val="22"/>
              </w:rPr>
            </w:pPr>
          </w:p>
        </w:tc>
        <w:tc>
          <w:tcPr>
            <w:tcW w:w="830" w:type="dxa"/>
            <w:vMerge w:val="continue"/>
            <w:vAlign w:val="center"/>
          </w:tcPr>
          <w:p>
            <w:pPr>
              <w:widowControl/>
              <w:adjustRightInd w:val="0"/>
              <w:snapToGrid w:val="0"/>
              <w:spacing w:line="360" w:lineRule="exact"/>
              <w:jc w:val="center"/>
              <w:rPr>
                <w:rFonts w:ascii="宋体" w:hAnsi="宋体" w:cs="Arial"/>
                <w:kern w:val="0"/>
                <w:sz w:val="22"/>
              </w:rPr>
            </w:pPr>
          </w:p>
        </w:tc>
        <w:tc>
          <w:tcPr>
            <w:tcW w:w="1010"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9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w:t>
            </w:r>
          </w:p>
        </w:tc>
        <w:tc>
          <w:tcPr>
            <w:tcW w:w="1549" w:type="dxa"/>
            <w:vMerge w:val="continue"/>
            <w:vAlign w:val="center"/>
          </w:tcPr>
          <w:p>
            <w:pPr>
              <w:widowControl/>
              <w:adjustRightInd w:val="0"/>
              <w:snapToGrid w:val="0"/>
              <w:spacing w:line="360" w:lineRule="exact"/>
              <w:jc w:val="center"/>
              <w:rPr>
                <w:rFonts w:ascii="宋体" w:hAnsi="宋体" w:cs="Arial"/>
                <w:kern w:val="0"/>
                <w:sz w:val="22"/>
              </w:rPr>
            </w:pPr>
          </w:p>
        </w:tc>
        <w:tc>
          <w:tcPr>
            <w:tcW w:w="1343"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02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1200</w:t>
            </w:r>
          </w:p>
        </w:tc>
        <w:tc>
          <w:tcPr>
            <w:tcW w:w="834" w:type="dxa"/>
            <w:vMerge w:val="continue"/>
            <w:vAlign w:val="center"/>
          </w:tcPr>
          <w:p>
            <w:pPr>
              <w:widowControl/>
              <w:adjustRightInd w:val="0"/>
              <w:snapToGrid w:val="0"/>
              <w:spacing w:line="360" w:lineRule="exact"/>
              <w:jc w:val="center"/>
              <w:rPr>
                <w:rFonts w:ascii="宋体" w:hAnsi="宋体" w:cs="Arial"/>
                <w:kern w:val="0"/>
                <w:sz w:val="22"/>
              </w:rPr>
            </w:pPr>
          </w:p>
        </w:tc>
        <w:tc>
          <w:tcPr>
            <w:tcW w:w="1050" w:type="dxa"/>
            <w:vMerge w:val="continue"/>
            <w:vAlign w:val="center"/>
          </w:tcPr>
          <w:p>
            <w:pPr>
              <w:widowControl/>
              <w:adjustRightInd w:val="0"/>
              <w:snapToGrid w:val="0"/>
              <w:spacing w:line="360" w:lineRule="exact"/>
              <w:jc w:val="center"/>
              <w:rPr>
                <w:rFonts w:ascii="宋体" w:hAnsi="宋体" w:cs="Arial"/>
                <w:kern w:val="0"/>
                <w:sz w:val="22"/>
              </w:rPr>
            </w:pPr>
          </w:p>
        </w:tc>
        <w:tc>
          <w:tcPr>
            <w:tcW w:w="1374" w:type="dxa"/>
            <w:vMerge w:val="continue"/>
            <w:vAlign w:val="center"/>
          </w:tcPr>
          <w:p>
            <w:pPr>
              <w:widowControl/>
              <w:adjustRightInd w:val="0"/>
              <w:snapToGrid w:val="0"/>
              <w:spacing w:line="360" w:lineRule="exact"/>
              <w:jc w:val="center"/>
              <w:rPr>
                <w:rFonts w:ascii="宋体" w:hAnsi="宋体" w:cs="Arial"/>
                <w:kern w:val="0"/>
                <w:sz w:val="22"/>
              </w:rPr>
            </w:pPr>
          </w:p>
        </w:tc>
        <w:tc>
          <w:tcPr>
            <w:tcW w:w="830" w:type="dxa"/>
            <w:vMerge w:val="continue"/>
            <w:vAlign w:val="center"/>
          </w:tcPr>
          <w:p>
            <w:pPr>
              <w:widowControl/>
              <w:adjustRightInd w:val="0"/>
              <w:snapToGrid w:val="0"/>
              <w:spacing w:line="360" w:lineRule="exact"/>
              <w:jc w:val="center"/>
              <w:rPr>
                <w:rFonts w:ascii="宋体" w:hAnsi="宋体" w:cs="Arial"/>
                <w:kern w:val="0"/>
                <w:sz w:val="22"/>
              </w:rPr>
            </w:pPr>
          </w:p>
        </w:tc>
        <w:tc>
          <w:tcPr>
            <w:tcW w:w="1010" w:type="dxa"/>
            <w:vMerge w:val="continue"/>
            <w:vAlign w:val="center"/>
          </w:tcPr>
          <w:p>
            <w:pPr>
              <w:widowControl/>
              <w:adjustRightInd w:val="0"/>
              <w:snapToGrid w:val="0"/>
              <w:spacing w:line="360" w:lineRule="exact"/>
              <w:jc w:val="center"/>
              <w:rPr>
                <w:rFonts w:ascii="宋体" w:hAnsi="宋体" w:cs="Arial"/>
                <w:kern w:val="0"/>
                <w:sz w:val="22"/>
              </w:rPr>
            </w:pPr>
          </w:p>
        </w:tc>
      </w:tr>
    </w:tbl>
    <w:p>
      <w:pPr>
        <w:pStyle w:val="25"/>
        <w:spacing w:line="240" w:lineRule="auto"/>
        <w:ind w:firstLine="442"/>
        <w:jc w:val="left"/>
        <w:rPr>
          <w:rStyle w:val="24"/>
          <w:rFonts w:cs="宋体" w:asciiTheme="minorEastAsia" w:hAnsiTheme="minorEastAsia"/>
          <w:b/>
          <w:bCs/>
          <w:kern w:val="0"/>
          <w:sz w:val="22"/>
          <w:szCs w:val="22"/>
          <w:highlight w:val="none"/>
        </w:rPr>
      </w:pPr>
      <w:r>
        <w:rPr>
          <w:rStyle w:val="24"/>
          <w:rFonts w:hint="eastAsia" w:cs="宋体" w:asciiTheme="minorEastAsia" w:hAnsiTheme="minorEastAsia"/>
          <w:b/>
          <w:bCs/>
          <w:sz w:val="22"/>
          <w:szCs w:val="22"/>
        </w:rPr>
        <w:t>上述</w:t>
      </w:r>
      <w:r>
        <w:rPr>
          <w:rStyle w:val="24"/>
          <w:rFonts w:hint="eastAsia" w:cs="宋体" w:asciiTheme="minorEastAsia" w:hAnsiTheme="minorEastAsia"/>
          <w:b/>
          <w:bCs/>
          <w:sz w:val="22"/>
          <w:szCs w:val="22"/>
          <w:highlight w:val="none"/>
        </w:rPr>
        <w:t>列表中的“年参考用量”为预估数量，不作为最终的成交数量,也不作为合同期内最低采购额度，</w:t>
      </w:r>
      <w:r>
        <w:rPr>
          <w:rStyle w:val="24"/>
          <w:rFonts w:hint="eastAsia" w:cs="宋体" w:asciiTheme="minorEastAsia" w:hAnsiTheme="minorEastAsia"/>
          <w:b/>
          <w:bCs/>
          <w:kern w:val="0"/>
          <w:sz w:val="22"/>
          <w:szCs w:val="22"/>
          <w:highlight w:val="none"/>
        </w:rPr>
        <w:t>本次投标报价为整个服务期的最高限价，</w:t>
      </w:r>
      <w:r>
        <w:rPr>
          <w:rStyle w:val="24"/>
          <w:rFonts w:hint="eastAsia" w:cs="宋体" w:asciiTheme="minorEastAsia" w:hAnsiTheme="minorEastAsia"/>
          <w:b/>
          <w:bCs/>
          <w:sz w:val="22"/>
          <w:szCs w:val="22"/>
          <w:highlight w:val="none"/>
        </w:rPr>
        <w:t>招标方初定</w:t>
      </w:r>
      <w:r>
        <w:rPr>
          <w:rStyle w:val="24"/>
          <w:rFonts w:hint="eastAsia" w:cs="宋体" w:asciiTheme="minorEastAsia" w:hAnsiTheme="minorEastAsia"/>
          <w:b/>
          <w:bCs/>
          <w:kern w:val="0"/>
          <w:sz w:val="22"/>
          <w:szCs w:val="22"/>
          <w:highlight w:val="none"/>
        </w:rPr>
        <w:t>每半年进行一次询价，招标人取询价</w:t>
      </w:r>
      <w:r>
        <w:rPr>
          <w:rStyle w:val="24"/>
          <w:rFonts w:cs="宋体" w:asciiTheme="minorEastAsia" w:hAnsiTheme="minorEastAsia"/>
          <w:b/>
          <w:bCs/>
          <w:kern w:val="0"/>
          <w:sz w:val="22"/>
          <w:szCs w:val="22"/>
          <w:highlight w:val="none"/>
        </w:rPr>
        <w:t>后</w:t>
      </w:r>
      <w:r>
        <w:rPr>
          <w:rStyle w:val="24"/>
          <w:rFonts w:hint="eastAsia" w:cs="宋体" w:asciiTheme="minorEastAsia" w:hAnsiTheme="minorEastAsia"/>
          <w:b/>
          <w:bCs/>
          <w:kern w:val="0"/>
          <w:sz w:val="22"/>
          <w:szCs w:val="22"/>
          <w:highlight w:val="none"/>
        </w:rPr>
        <w:t>单个型号的最低价分别进行采购。</w:t>
      </w:r>
      <w:r>
        <w:rPr>
          <w:rStyle w:val="24"/>
          <w:rFonts w:hint="eastAsia" w:cs="宋体" w:asciiTheme="minorEastAsia" w:hAnsiTheme="minorEastAsia"/>
          <w:b/>
          <w:bCs/>
          <w:sz w:val="22"/>
          <w:szCs w:val="22"/>
          <w:highlight w:val="none"/>
        </w:rPr>
        <w:t>招标人将根据实际需求分批次进行采购，采购频率约每两个月一次。</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Style w:val="24"/>
          <w:rFonts w:hint="eastAsia" w:cs="宋体" w:asciiTheme="minorEastAsia" w:hAnsiTheme="minorEastAsia"/>
          <w:sz w:val="22"/>
        </w:rPr>
        <w:t>具有独立法人资格的制造商或代理商，注册资金不少于人民币</w:t>
      </w:r>
      <w:r>
        <w:rPr>
          <w:rStyle w:val="24"/>
          <w:rFonts w:hint="eastAsia" w:cs="宋体" w:asciiTheme="minorEastAsia" w:hAnsiTheme="minorEastAsia"/>
          <w:sz w:val="22"/>
          <w:u w:val="single"/>
        </w:rPr>
        <w:t>50</w:t>
      </w:r>
      <w:r>
        <w:rPr>
          <w:rStyle w:val="24"/>
          <w:rFonts w:hint="eastAsia" w:cs="宋体" w:asciiTheme="minorEastAsia" w:hAnsiTheme="minorEastAsia"/>
          <w:sz w:val="22"/>
        </w:rPr>
        <w:t>万元或等值外币(按投标截止日中国人民银行公布的汇率中间价换算)</w:t>
      </w:r>
      <w:r>
        <w:rPr>
          <w:rFonts w:hint="eastAsia" w:cs="Arial" w:asciiTheme="minorEastAsia" w:hAnsiTheme="minorEastAsia"/>
          <w:kern w:val="0"/>
          <w:sz w:val="22"/>
        </w:rPr>
        <w:t>。</w:t>
      </w:r>
      <w:r>
        <w:rPr>
          <w:rStyle w:val="24"/>
          <w:rFonts w:hint="eastAsia" w:cs="宋体" w:asciiTheme="minorEastAsia" w:hAnsiTheme="minorEastAsia"/>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w:t>
      </w:r>
      <w:r>
        <w:rPr>
          <w:rFonts w:hint="eastAsia" w:ascii="宋体" w:hAnsi="宋体" w:cs="Arial"/>
          <w:kern w:val="0"/>
          <w:sz w:val="22"/>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hint="eastAsia" w:ascii="宋体" w:hAnsi="宋体" w:cs="Arial"/>
          <w:kern w:val="0"/>
          <w:sz w:val="22"/>
        </w:rPr>
        <w:t>（北京时间）。投标文件在封口处加盖公章，并派专人于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snapToGrid w:val="0"/>
        <w:spacing w:line="340" w:lineRule="exact"/>
        <w:ind w:firstLine="440" w:firstLineChars="200"/>
        <w:rPr>
          <w:rFonts w:ascii="宋体" w:hAnsi="宋体" w:cs="宋体"/>
          <w:sz w:val="22"/>
        </w:rPr>
      </w:pPr>
      <w:r>
        <w:rPr>
          <w:rFonts w:hint="eastAsia" w:ascii="宋体" w:hAnsi="宋体" w:cs="宋体"/>
          <w:sz w:val="22"/>
        </w:rPr>
        <w:t xml:space="preserve">本次招标公告同时在 </w:t>
      </w:r>
      <w:r>
        <w:rPr>
          <w:rFonts w:hint="eastAsia" w:ascii="宋体" w:hAnsi="宋体" w:cs="宋体"/>
          <w:b/>
          <w:sz w:val="22"/>
        </w:rPr>
        <w:t>中国采购与招标网和杭州萧山机场有限公司主页</w:t>
      </w:r>
      <w:r>
        <w:rPr>
          <w:rFonts w:hint="eastAsia" w:ascii="宋体" w:hAnsi="宋体" w:cs="宋体"/>
          <w:sz w:val="22"/>
        </w:rPr>
        <w:t>上发布</w:t>
      </w:r>
    </w:p>
    <w:p>
      <w:pPr>
        <w:snapToGrid w:val="0"/>
        <w:spacing w:line="340" w:lineRule="exact"/>
        <w:ind w:firstLine="440" w:firstLineChars="200"/>
        <w:rPr>
          <w:rStyle w:val="20"/>
          <w:rFonts w:hAnsi="宋体"/>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snapToGrid w:val="0"/>
        <w:spacing w:line="340" w:lineRule="exact"/>
        <w:ind w:firstLine="440" w:firstLineChars="200"/>
        <w:rPr>
          <w:rFonts w:ascii="宋体" w:hAnsi="宋体"/>
          <w:sz w:val="22"/>
        </w:rPr>
      </w:pPr>
      <w:r>
        <w:rPr>
          <w:rFonts w:hint="eastAsia" w:ascii="宋体" w:hAnsi="宋体"/>
          <w:sz w:val="22"/>
        </w:rPr>
        <w:t>杭州萧山机场有限公司主页</w:t>
      </w:r>
      <w:r>
        <w:rPr>
          <w:rFonts w:ascii="宋体" w:hAnsi="宋体"/>
          <w:sz w:val="22"/>
        </w:rPr>
        <w:t>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投标联系人：贾思勰        联系电话：0571-83837612</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招标监督人：闻晓丽         联系电话：0571-86662132</w:t>
      </w:r>
    </w:p>
    <w:p>
      <w:pPr>
        <w:pStyle w:val="14"/>
      </w:pPr>
      <w:r>
        <w:rPr>
          <w:b w:val="0"/>
        </w:rPr>
        <w:br w:type="page"/>
      </w:r>
      <w:bookmarkStart w:id="5" w:name="_Toc15811"/>
      <w:bookmarkStart w:id="6" w:name="_Toc27661"/>
      <w:bookmarkStart w:id="7" w:name="_Toc1405"/>
      <w:bookmarkStart w:id="8" w:name="_Toc15520"/>
      <w:bookmarkStart w:id="9" w:name="_Toc21779"/>
      <w:r>
        <w:t>第</w:t>
      </w:r>
      <w:r>
        <w:rPr>
          <w:rFonts w:hint="eastAsia"/>
        </w:rPr>
        <w:t>二</w:t>
      </w:r>
      <w:r>
        <w:t>章投标</w:t>
      </w:r>
      <w:r>
        <w:rPr>
          <w:rFonts w:hint="eastAsia"/>
        </w:rPr>
        <w:t>人须知</w:t>
      </w:r>
      <w:bookmarkEnd w:id="5"/>
      <w:bookmarkEnd w:id="6"/>
      <w:bookmarkEnd w:id="7"/>
      <w:bookmarkEnd w:id="8"/>
      <w:bookmarkEnd w:id="9"/>
    </w:p>
    <w:p>
      <w:pPr>
        <w:pStyle w:val="7"/>
        <w:spacing w:line="360" w:lineRule="auto"/>
        <w:jc w:val="center"/>
        <w:rPr>
          <w:b/>
        </w:rPr>
      </w:pPr>
      <w:r>
        <w:rPr>
          <w:rFonts w:hint="eastAsia"/>
          <w:b/>
        </w:rPr>
        <w:t>投标人须知前附表</w:t>
      </w:r>
    </w:p>
    <w:tbl>
      <w:tblPr>
        <w:tblStyle w:val="16"/>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widowControl/>
              <w:autoSpaceDE w:val="0"/>
              <w:autoSpaceDN w:val="0"/>
              <w:textAlignment w:val="bottom"/>
              <w:rPr>
                <w:rFonts w:ascii="宋体" w:hAnsi="宋体" w:cs="Calibri"/>
                <w:kern w:val="0"/>
                <w:sz w:val="22"/>
              </w:rPr>
            </w:pPr>
            <w:r>
              <w:rPr>
                <w:rFonts w:ascii="宋体" w:hAnsi="宋体" w:cs="Calibri"/>
                <w:kern w:val="0"/>
                <w:sz w:val="22"/>
              </w:rPr>
              <w:t>杭州萧山国际机场不正常行李赔偿用行李箱供应商选聘项目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服务期及交货期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服务期：2020年1月1日-2022年12月31日；整个项目服务期安排应服从招标人要求。</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实时响应叫货，</w:t>
            </w:r>
            <w:r>
              <w:rPr>
                <w:rFonts w:hint="eastAsia" w:ascii="宋体" w:hAnsi="宋体" w:cs="Calibri"/>
                <w:b/>
                <w:bCs/>
                <w:kern w:val="0"/>
                <w:sz w:val="22"/>
              </w:rPr>
              <w:t>单次交货时间</w:t>
            </w:r>
            <w:r>
              <w:rPr>
                <w:rFonts w:hint="eastAsia" w:ascii="宋体" w:hAnsi="宋体" w:cs="Calibri"/>
                <w:kern w:val="0"/>
                <w:sz w:val="22"/>
              </w:rPr>
              <w:t>：每次</w:t>
            </w:r>
            <w:r>
              <w:rPr>
                <w:rFonts w:hint="eastAsia" w:ascii="宋体" w:hAnsi="宋体" w:cs="Arial"/>
                <w:kern w:val="0"/>
                <w:sz w:val="22"/>
              </w:rPr>
              <w:t>按实际供货指令交货，单次交货时间不得超过收到供货指令后</w:t>
            </w:r>
            <w:r>
              <w:rPr>
                <w:rFonts w:hint="eastAsia" w:ascii="宋体" w:hAnsi="宋体" w:cs="Arial"/>
                <w:b/>
                <w:bCs/>
                <w:kern w:val="0"/>
                <w:sz w:val="22"/>
              </w:rPr>
              <w:t>10日历天</w:t>
            </w:r>
            <w:r>
              <w:rPr>
                <w:rFonts w:hint="eastAsia" w:ascii="宋体" w:hAnsi="宋体" w:cs="Calibri"/>
                <w:kern w:val="0"/>
                <w:sz w:val="22"/>
              </w:rPr>
              <w:t>。</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投标人须在投标文件中提供单次的交货时间和详细的供货计划。投标人可根据自身经验、制作水平、管理能力及运输能力自报竞争性交货时间，但不得超过招标人明确的单次交货时间（</w:t>
            </w:r>
            <w:r>
              <w:rPr>
                <w:rFonts w:hint="eastAsia" w:ascii="宋体" w:hAnsi="宋体" w:cs="Calibri"/>
                <w:b/>
                <w:bCs/>
                <w:kern w:val="0"/>
                <w:sz w:val="22"/>
              </w:rPr>
              <w:t>10日历天</w:t>
            </w:r>
            <w:r>
              <w:rPr>
                <w:rFonts w:hint="eastAsia" w:ascii="宋体" w:hAnsi="宋体" w:cs="Calibri"/>
                <w:kern w:val="0"/>
                <w:sz w:val="22"/>
              </w:rPr>
              <w:t>）。一旦中标，该交货时间即为合同的单次交货时间。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箱包有关</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0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11</w:t>
            </w:r>
            <w:r>
              <w:rPr>
                <w:rFonts w:cs="Calibri" w:asciiTheme="minorEastAsia" w:hAnsiTheme="minorEastAsia"/>
                <w:kern w:val="0"/>
                <w:sz w:val="22"/>
              </w:rPr>
              <w:t>月</w:t>
            </w:r>
            <w:r>
              <w:rPr>
                <w:rFonts w:hint="eastAsia" w:cs="Calibri" w:asciiTheme="minorEastAsia" w:hAnsiTheme="minorEastAsia"/>
                <w:kern w:val="0"/>
                <w:sz w:val="22"/>
                <w:lang w:val="en-US" w:eastAsia="zh-CN"/>
              </w:rPr>
              <w:t>13</w:t>
            </w:r>
            <w:r>
              <w:rPr>
                <w:rFonts w:cs="Calibri" w:asciiTheme="minorEastAsia" w:hAnsiTheme="minorEastAsia"/>
                <w:kern w:val="0"/>
                <w:sz w:val="22"/>
              </w:rPr>
              <w:t>日11：30前，</w:t>
            </w:r>
            <w:r>
              <w:rPr>
                <w:rFonts w:hint="eastAsia" w:cs="Calibri" w:asciiTheme="minorEastAsia" w:hAnsiTheme="minorEastAsia"/>
                <w:kern w:val="0"/>
                <w:sz w:val="22"/>
              </w:rPr>
              <w:t>以书面加盖公章的形式通过E-mail或传真提交给招标人（投标联系人:贾工，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21</w:t>
            </w:r>
            <w:r>
              <w:rPr>
                <w:rFonts w:hint="eastAsia" w:cs="Calibri" w:asciiTheme="minorEastAsia" w:hAnsiTheme="minorEastAsia"/>
                <w:b/>
                <w:kern w:val="0"/>
                <w:sz w:val="22"/>
              </w:rPr>
              <w:t>日上午</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00</w:t>
            </w:r>
            <w:r>
              <w:rPr>
                <w:rFonts w:hint="eastAsia" w:cs="Calibri" w:asciiTheme="minorEastAsia" w:hAnsi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杭州萧山国际机场不正常行李赔偿用行李箱供应商选聘</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11</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21</w:t>
            </w:r>
            <w:r>
              <w:rPr>
                <w:rFonts w:hint="eastAsia" w:cs="Calibri" w:asciiTheme="minorEastAsia" w:hAnsiTheme="minorEastAsia"/>
                <w:kern w:val="0"/>
                <w:sz w:val="22"/>
                <w:u w:val="single"/>
              </w:rPr>
              <w:t>日上午</w:t>
            </w:r>
            <w:r>
              <w:rPr>
                <w:rFonts w:hint="eastAsia" w:cs="Calibri" w:asciiTheme="minorEastAsia" w:hAnsiTheme="minorEastAsia"/>
                <w:kern w:val="0"/>
                <w:sz w:val="22"/>
                <w:u w:val="single"/>
                <w:lang w:val="en-US" w:eastAsia="zh-CN"/>
              </w:rPr>
              <w:t>9</w:t>
            </w:r>
            <w:r>
              <w:rPr>
                <w:rFonts w:hint="eastAsia" w:cs="Calibri" w:asciiTheme="minorEastAsia" w:hAnsiTheme="minorEastAsia"/>
                <w:kern w:val="0"/>
                <w:sz w:val="22"/>
                <w:u w:val="single"/>
              </w:rPr>
              <w:t>时</w:t>
            </w:r>
            <w:r>
              <w:rPr>
                <w:rFonts w:hint="eastAsia" w:cs="Calibri" w:asciiTheme="minorEastAsia" w:hAnsiTheme="minorEastAsia"/>
                <w:kern w:val="0"/>
                <w:sz w:val="22"/>
                <w:u w:val="single"/>
                <w:lang w:val="en-US" w:eastAsia="zh-CN"/>
              </w:rPr>
              <w:t>00</w:t>
            </w:r>
            <w:r>
              <w:rPr>
                <w:rFonts w:hint="eastAsia" w:cs="Calibri" w:asciiTheme="minorEastAsia" w:hAnsiTheme="minorEastAsia"/>
                <w:kern w:val="0"/>
                <w:sz w:val="22"/>
                <w:u w:val="single"/>
              </w:rPr>
              <w:t>分</w:t>
            </w:r>
            <w:bookmarkStart w:id="142" w:name="_GoBack"/>
            <w:bookmarkEnd w:id="142"/>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：5</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3</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人民币</w:t>
            </w:r>
            <w:r>
              <w:rPr>
                <w:rFonts w:hint="eastAsia" w:ascii="宋体" w:hAnsi="宋体"/>
                <w:sz w:val="22"/>
                <w:u w:val="single"/>
              </w:rPr>
              <w:t>伍万元整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3"/>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widowControl/>
              <w:adjustRightInd w:val="0"/>
              <w:snapToGrid w:val="0"/>
              <w:spacing w:line="340" w:lineRule="exact"/>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widowControl/>
              <w:adjustRightInd w:val="0"/>
              <w:snapToGrid w:val="0"/>
              <w:spacing w:line="340" w:lineRule="exact"/>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p>
            <w:pPr>
              <w:widowControl/>
              <w:adjustRightInd w:val="0"/>
              <w:snapToGrid w:val="0"/>
              <w:spacing w:line="340" w:lineRule="exact"/>
              <w:rPr>
                <w:rFonts w:ascii="宋体" w:hAnsi="宋体" w:cs="Calibri"/>
                <w:b/>
                <w:bCs/>
                <w:snapToGrid w:val="0"/>
                <w:kern w:val="0"/>
                <w:sz w:val="22"/>
              </w:rPr>
            </w:pPr>
            <w:r>
              <w:rPr>
                <w:rFonts w:ascii="宋体" w:hAnsi="宋体" w:cs="Calibri"/>
                <w:kern w:val="0"/>
                <w:sz w:val="22"/>
              </w:rPr>
              <w:t>★</w:t>
            </w:r>
            <w:r>
              <w:rPr>
                <w:rFonts w:hint="eastAsia" w:ascii="宋体" w:hAnsi="宋体" w:cs="Calibri"/>
                <w:b/>
                <w:bCs/>
                <w:snapToGrid w:val="0"/>
                <w:kern w:val="0"/>
                <w:sz w:val="22"/>
              </w:rPr>
              <w:t>3、投标时提供如下样品：</w:t>
            </w:r>
          </w:p>
          <w:p>
            <w:pPr>
              <w:widowControl/>
              <w:adjustRightInd w:val="0"/>
              <w:snapToGrid w:val="0"/>
              <w:spacing w:line="340" w:lineRule="exact"/>
              <w:rPr>
                <w:rFonts w:ascii="宋体" w:hAnsi="宋体" w:cs="Calibri"/>
                <w:b/>
                <w:bCs/>
                <w:snapToGrid w:val="0"/>
                <w:kern w:val="0"/>
                <w:sz w:val="22"/>
              </w:rPr>
            </w:pPr>
            <w:r>
              <w:rPr>
                <w:rFonts w:hint="eastAsia" w:ascii="宋体" w:hAnsi="宋体" w:cs="Calibri"/>
                <w:b/>
                <w:bCs/>
                <w:snapToGrid w:val="0"/>
                <w:kern w:val="0"/>
                <w:sz w:val="22"/>
              </w:rPr>
              <w:t>样品1：牛津帆布万向轮拉杆箱，20寸/24寸/28寸，各一个；</w:t>
            </w:r>
          </w:p>
          <w:p>
            <w:pPr>
              <w:widowControl/>
              <w:adjustRightInd w:val="0"/>
              <w:snapToGrid w:val="0"/>
              <w:spacing w:line="340" w:lineRule="exact"/>
              <w:rPr>
                <w:rFonts w:ascii="宋体" w:hAnsi="宋体" w:cs="Calibri"/>
                <w:b/>
                <w:bCs/>
                <w:snapToGrid w:val="0"/>
                <w:kern w:val="0"/>
                <w:sz w:val="22"/>
              </w:rPr>
            </w:pPr>
            <w:r>
              <w:rPr>
                <w:rFonts w:hint="eastAsia" w:ascii="宋体" w:hAnsi="宋体" w:cs="Calibri"/>
                <w:b/>
                <w:bCs/>
                <w:snapToGrid w:val="0"/>
                <w:kern w:val="0"/>
                <w:sz w:val="22"/>
              </w:rPr>
              <w:t>样品2：塑料硬壳万向轮拉杆箱，20寸/24寸/28寸，各一个。</w:t>
            </w:r>
          </w:p>
          <w:p>
            <w:pPr>
              <w:widowControl/>
              <w:adjustRightInd w:val="0"/>
              <w:snapToGrid w:val="0"/>
              <w:spacing w:line="340" w:lineRule="exact"/>
              <w:rPr>
                <w:rFonts w:ascii="宋体" w:hAnsi="宋体"/>
                <w:b/>
                <w:bCs/>
                <w:sz w:val="22"/>
              </w:rPr>
            </w:pPr>
            <w:r>
              <w:rPr>
                <w:rFonts w:hint="eastAsia" w:ascii="宋体" w:hAnsi="宋体"/>
                <w:b/>
                <w:bCs/>
                <w:sz w:val="22"/>
              </w:rPr>
              <w:t>（未提供</w:t>
            </w:r>
            <w:r>
              <w:rPr>
                <w:rFonts w:ascii="宋体" w:hAnsi="宋体"/>
                <w:b/>
                <w:bCs/>
                <w:sz w:val="22"/>
              </w:rPr>
              <w:t>样品的，予以否决投标处理</w:t>
            </w:r>
            <w:r>
              <w:rPr>
                <w:rFonts w:hint="eastAsia" w:ascii="宋体" w:hAnsi="宋体"/>
                <w:b/>
                <w:bCs/>
                <w:sz w:val="22"/>
              </w:rPr>
              <w:t>）</w:t>
            </w:r>
          </w:p>
          <w:p>
            <w:pPr>
              <w:widowControl/>
              <w:adjustRightInd w:val="0"/>
              <w:snapToGrid w:val="0"/>
              <w:spacing w:line="340" w:lineRule="exact"/>
              <w:rPr>
                <w:rFonts w:ascii="宋体" w:hAnsi="宋体"/>
                <w:b/>
                <w:bCs/>
                <w:sz w:val="22"/>
              </w:rPr>
            </w:pPr>
            <w:r>
              <w:rPr>
                <w:rFonts w:hint="eastAsia" w:ascii="宋体" w:hAnsi="宋体"/>
                <w:b/>
                <w:bCs/>
                <w:sz w:val="22"/>
              </w:rPr>
              <w:t>注</w:t>
            </w:r>
            <w:r>
              <w:rPr>
                <w:rFonts w:ascii="宋体" w:hAnsi="宋体"/>
                <w:b/>
                <w:bCs/>
                <w:sz w:val="22"/>
              </w:rPr>
              <w:t>：</w:t>
            </w:r>
            <w:r>
              <w:rPr>
                <w:rFonts w:hint="eastAsia" w:ascii="宋体" w:hAnsi="宋体"/>
                <w:b/>
                <w:bCs/>
                <w:sz w:val="22"/>
              </w:rPr>
              <w:t>本项目</w:t>
            </w:r>
            <w:r>
              <w:rPr>
                <w:rFonts w:ascii="宋体" w:hAnsi="宋体"/>
                <w:b/>
                <w:bCs/>
                <w:sz w:val="22"/>
              </w:rPr>
              <w:t>中标公示期</w:t>
            </w:r>
            <w:r>
              <w:rPr>
                <w:rFonts w:hint="eastAsia" w:ascii="宋体" w:hAnsi="宋体"/>
                <w:b/>
                <w:bCs/>
                <w:sz w:val="22"/>
              </w:rPr>
              <w:t>结束</w:t>
            </w:r>
            <w:r>
              <w:rPr>
                <w:rFonts w:ascii="宋体" w:hAnsi="宋体"/>
                <w:b/>
                <w:bCs/>
                <w:sz w:val="22"/>
              </w:rPr>
              <w:t>且无异议后，未中标单位的样品</w:t>
            </w:r>
            <w:r>
              <w:rPr>
                <w:rFonts w:hint="eastAsia" w:ascii="宋体" w:hAnsi="宋体"/>
                <w:b/>
                <w:bCs/>
                <w:sz w:val="22"/>
              </w:rPr>
              <w:t>予以</w:t>
            </w:r>
            <w:r>
              <w:rPr>
                <w:rFonts w:ascii="宋体" w:hAnsi="宋体"/>
                <w:b/>
                <w:bCs/>
                <w:sz w:val="22"/>
              </w:rPr>
              <w:t>退还，投标人</w:t>
            </w:r>
            <w:r>
              <w:rPr>
                <w:rFonts w:hint="eastAsia" w:ascii="宋体" w:hAnsi="宋体"/>
                <w:b/>
                <w:bCs/>
                <w:sz w:val="22"/>
              </w:rPr>
              <w:t>须</w:t>
            </w:r>
            <w:r>
              <w:rPr>
                <w:rFonts w:ascii="宋体" w:hAnsi="宋体"/>
                <w:b/>
                <w:bCs/>
                <w:sz w:val="22"/>
              </w:rPr>
              <w:t>联系</w:t>
            </w:r>
            <w:r>
              <w:rPr>
                <w:rFonts w:hint="eastAsia" w:ascii="宋体" w:hAnsi="宋体"/>
                <w:b/>
                <w:bCs/>
                <w:sz w:val="22"/>
              </w:rPr>
              <w:t>招标人</w:t>
            </w:r>
            <w:r>
              <w:rPr>
                <w:rFonts w:ascii="宋体" w:hAnsi="宋体"/>
                <w:b/>
                <w:bCs/>
                <w:sz w:val="22"/>
              </w:rPr>
              <w:t>并自行领取</w:t>
            </w:r>
            <w:r>
              <w:rPr>
                <w:rFonts w:hint="eastAsia" w:ascii="宋体" w:hAnsi="宋体"/>
                <w:b/>
                <w:bCs/>
                <w:sz w:val="22"/>
              </w:rPr>
              <w:t>；</w:t>
            </w:r>
            <w:r>
              <w:rPr>
                <w:rFonts w:ascii="宋体" w:hAnsi="宋体"/>
                <w:b/>
                <w:bCs/>
                <w:sz w:val="22"/>
              </w:rPr>
              <w:t>中标单位的样品暂不</w:t>
            </w:r>
            <w:r>
              <w:rPr>
                <w:rFonts w:hint="eastAsia" w:ascii="宋体" w:hAnsi="宋体"/>
                <w:b/>
                <w:bCs/>
                <w:sz w:val="22"/>
              </w:rPr>
              <w:t>退还</w:t>
            </w:r>
            <w:r>
              <w:rPr>
                <w:rFonts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3"/>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560" w:lineRule="exact"/>
        <w:rPr>
          <w:sz w:val="24"/>
        </w:rPr>
      </w:pPr>
    </w:p>
    <w:p>
      <w:pPr>
        <w:rPr>
          <w:rFonts w:cs="Calibri" w:asciiTheme="minorEastAsia" w:hAnsiTheme="minorEastAsia"/>
          <w:b/>
          <w:bCs/>
          <w:kern w:val="0"/>
          <w:sz w:val="22"/>
        </w:rPr>
      </w:pPr>
      <w:r>
        <w:rPr>
          <w:rFonts w:cs="Calibri" w:asciiTheme="minorEastAsia" w:hAnsiTheme="minorEastAsia"/>
          <w:b/>
          <w:bCs/>
          <w:kern w:val="0"/>
          <w:sz w:val="22"/>
        </w:rPr>
        <w:br w:type="page"/>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0"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2.招标文件</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2.1 招标文件的组成</w:t>
      </w:r>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2.2 招标文件的澄清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2.3 招标文件的修改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3.2 投标文件的组成</w:t>
      </w:r>
    </w:p>
    <w:p>
      <w:pPr>
        <w:adjustRightInd w:val="0"/>
        <w:snapToGrid w:val="0"/>
        <w:spacing w:line="360" w:lineRule="exact"/>
        <w:ind w:firstLine="440"/>
        <w:rPr>
          <w:rFonts w:ascii="宋体" w:hAnsi="宋体" w:cs="Calibri"/>
          <w:sz w:val="22"/>
        </w:rPr>
      </w:pPr>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3.2.8货物供货范围（包括设备数量、型号规格、产地、品牌），提供拟投六类行李箱的样品及《样品照片》</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3.2.13关于质量保证期的说明；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3.2.14优惠条件：投标人承诺给予用户的其他优惠条款，包括付款条件、培训服务、质量保证期等方面的优惠；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3.2.15</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p>
    <w:p>
      <w:pPr>
        <w:adjustRightInd w:val="0"/>
        <w:snapToGrid w:val="0"/>
        <w:spacing w:line="360" w:lineRule="exact"/>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5.1 开标时间和地点</w:t>
      </w:r>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6.1 评标委员会</w:t>
      </w:r>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6.2 评标原则</w:t>
      </w:r>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6.3 评标</w:t>
      </w:r>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7.1 定标方式</w:t>
      </w:r>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7.2 中标通知</w:t>
      </w:r>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p>
    <w:p>
      <w:pPr>
        <w:adjustRightInd w:val="0"/>
        <w:snapToGrid w:val="0"/>
        <w:spacing w:line="360" w:lineRule="exact"/>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8.1 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8.2 不再招标</w:t>
      </w:r>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9.5 投诉</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rPr>
          <w:sz w:val="24"/>
        </w:rPr>
      </w:pPr>
    </w:p>
    <w:p>
      <w:pPr>
        <w:snapToGrid w:val="0"/>
        <w:spacing w:line="560" w:lineRule="exact"/>
        <w:rPr>
          <w:sz w:val="24"/>
        </w:rPr>
      </w:pPr>
    </w:p>
    <w:p>
      <w:pPr>
        <w:pStyle w:val="14"/>
      </w:pPr>
      <w:bookmarkStart w:id="11" w:name="_Toc10995"/>
      <w:r>
        <w:rPr>
          <w:sz w:val="24"/>
        </w:rPr>
        <w:br w:type="page"/>
      </w:r>
      <w:bookmarkStart w:id="12" w:name="_Toc30766"/>
      <w:bookmarkStart w:id="13" w:name="_Toc5862"/>
      <w:bookmarkStart w:id="14" w:name="_Toc11766"/>
      <w:bookmarkStart w:id="15" w:name="_Toc22839"/>
      <w:r>
        <w:t>第</w:t>
      </w:r>
      <w:r>
        <w:rPr>
          <w:rFonts w:hint="eastAsia"/>
        </w:rPr>
        <w:t>三</w:t>
      </w:r>
      <w:r>
        <w:t>章</w:t>
      </w:r>
      <w:r>
        <w:rPr>
          <w:rFonts w:hint="eastAsia"/>
        </w:rPr>
        <w:t xml:space="preserve"> </w:t>
      </w:r>
      <w:r>
        <w:t>货物需求一览表及技术规格</w:t>
      </w:r>
      <w:bookmarkEnd w:id="12"/>
      <w:bookmarkEnd w:id="13"/>
      <w:bookmarkEnd w:id="14"/>
      <w:bookmarkEnd w:id="15"/>
    </w:p>
    <w:p>
      <w:pPr>
        <w:pStyle w:val="3"/>
        <w:numPr>
          <w:ilvl w:val="0"/>
          <w:numId w:val="1"/>
        </w:numPr>
        <w:adjustRightInd w:val="0"/>
        <w:snapToGrid w:val="0"/>
        <w:spacing w:before="360" w:after="0" w:line="360" w:lineRule="exact"/>
        <w:jc w:val="left"/>
        <w:rPr>
          <w:rFonts w:ascii="宋体" w:hAnsi="宋体" w:cs="Arial"/>
          <w:sz w:val="22"/>
          <w:szCs w:val="22"/>
        </w:rPr>
      </w:pPr>
      <w:r>
        <w:rPr>
          <w:rFonts w:hint="eastAsia" w:ascii="宋体" w:hAnsi="宋体" w:cs="Arial"/>
          <w:sz w:val="22"/>
          <w:szCs w:val="22"/>
        </w:rPr>
        <w:t>项目概况</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为满足行李箱赔偿需求，拟招标确定相应的不正常行李赔偿用行李箱供货商，服务期2020-2022年度。</w:t>
      </w:r>
    </w:p>
    <w:p>
      <w:pPr>
        <w:pStyle w:val="3"/>
        <w:adjustRightInd w:val="0"/>
        <w:snapToGrid w:val="0"/>
        <w:spacing w:before="360" w:after="0" w:line="360" w:lineRule="exact"/>
        <w:jc w:val="left"/>
        <w:rPr>
          <w:rFonts w:ascii="宋体" w:hAnsi="宋体" w:cs="Arial"/>
          <w:sz w:val="22"/>
          <w:szCs w:val="22"/>
        </w:rPr>
      </w:pPr>
      <w:r>
        <w:rPr>
          <w:rFonts w:ascii="宋体" w:hAnsi="宋体" w:cs="Arial"/>
          <w:sz w:val="22"/>
          <w:szCs w:val="22"/>
        </w:rPr>
        <w:t>二、技术标准、规范（不限于以下）</w:t>
      </w:r>
    </w:p>
    <w:p>
      <w:pPr>
        <w:pStyle w:val="25"/>
        <w:adjustRightInd w:val="0"/>
        <w:snapToGrid w:val="0"/>
        <w:ind w:firstLine="440"/>
        <w:jc w:val="left"/>
        <w:rPr>
          <w:rFonts w:ascii="宋体" w:hAnsi="宋体"/>
          <w:sz w:val="22"/>
          <w:szCs w:val="22"/>
        </w:rPr>
      </w:pPr>
      <w:r>
        <w:rPr>
          <w:rFonts w:ascii="宋体" w:hAnsi="宋体"/>
          <w:sz w:val="22"/>
          <w:szCs w:val="22"/>
        </w:rPr>
        <w:t>1、国家规定的标准及规范，</w:t>
      </w:r>
      <w:r>
        <w:rPr>
          <w:rFonts w:hint="eastAsia" w:ascii="宋体" w:hAnsi="宋体"/>
          <w:sz w:val="22"/>
          <w:szCs w:val="22"/>
        </w:rPr>
        <w:t>按最新的标准及规范</w:t>
      </w:r>
      <w:r>
        <w:rPr>
          <w:rFonts w:ascii="宋体" w:hAnsi="宋体"/>
          <w:sz w:val="22"/>
          <w:szCs w:val="22"/>
        </w:rPr>
        <w:t>执行。</w:t>
      </w:r>
    </w:p>
    <w:p>
      <w:pPr>
        <w:pStyle w:val="25"/>
        <w:adjustRightInd w:val="0"/>
        <w:snapToGrid w:val="0"/>
        <w:ind w:firstLine="440"/>
        <w:jc w:val="left"/>
        <w:rPr>
          <w:rFonts w:ascii="宋体" w:hAnsi="宋体"/>
          <w:sz w:val="22"/>
          <w:szCs w:val="22"/>
        </w:rPr>
      </w:pPr>
      <w:r>
        <w:rPr>
          <w:rFonts w:ascii="宋体" w:hAnsi="宋体"/>
          <w:sz w:val="22"/>
          <w:szCs w:val="22"/>
        </w:rPr>
        <w:t>2、行业标准及规范，</w:t>
      </w:r>
      <w:r>
        <w:rPr>
          <w:rFonts w:hint="eastAsia" w:ascii="宋体" w:hAnsi="宋体"/>
          <w:sz w:val="22"/>
          <w:szCs w:val="22"/>
        </w:rPr>
        <w:t>按最新的标准及规范</w:t>
      </w:r>
      <w:r>
        <w:rPr>
          <w:rFonts w:ascii="宋体" w:hAnsi="宋体"/>
          <w:sz w:val="22"/>
          <w:szCs w:val="22"/>
        </w:rPr>
        <w:t>执行。</w:t>
      </w:r>
    </w:p>
    <w:p>
      <w:pPr>
        <w:pStyle w:val="25"/>
        <w:adjustRightInd w:val="0"/>
        <w:snapToGrid w:val="0"/>
        <w:ind w:firstLine="440"/>
        <w:jc w:val="left"/>
        <w:rPr>
          <w:rFonts w:ascii="宋体" w:hAnsi="宋体"/>
          <w:sz w:val="22"/>
          <w:szCs w:val="22"/>
        </w:rPr>
      </w:pPr>
      <w:r>
        <w:rPr>
          <w:rFonts w:hint="eastAsia" w:ascii="宋体" w:hAnsi="宋体"/>
          <w:sz w:val="22"/>
          <w:szCs w:val="22"/>
        </w:rPr>
        <w:t>3</w:t>
      </w:r>
      <w:r>
        <w:rPr>
          <w:rFonts w:ascii="宋体" w:hAnsi="宋体"/>
          <w:sz w:val="22"/>
          <w:szCs w:val="22"/>
        </w:rPr>
        <w:t>、其它相关标准及规范，</w:t>
      </w:r>
      <w:r>
        <w:rPr>
          <w:rFonts w:hint="eastAsia" w:ascii="宋体" w:hAnsi="宋体"/>
          <w:sz w:val="22"/>
          <w:szCs w:val="22"/>
        </w:rPr>
        <w:t>按最新的标准及规范</w:t>
      </w:r>
      <w:r>
        <w:rPr>
          <w:rFonts w:ascii="宋体" w:hAnsi="宋体"/>
          <w:sz w:val="22"/>
          <w:szCs w:val="22"/>
        </w:rPr>
        <w:t>执行。</w:t>
      </w:r>
    </w:p>
    <w:p>
      <w:pPr>
        <w:pStyle w:val="3"/>
        <w:adjustRightInd w:val="0"/>
        <w:snapToGrid w:val="0"/>
        <w:spacing w:before="360" w:after="0" w:line="360" w:lineRule="exact"/>
        <w:jc w:val="left"/>
      </w:pPr>
      <w:r>
        <w:rPr>
          <w:rFonts w:hint="eastAsia" w:ascii="宋体" w:hAnsi="宋体" w:cs="Arial"/>
          <w:sz w:val="22"/>
          <w:szCs w:val="22"/>
        </w:rPr>
        <w:t>三、招标</w:t>
      </w:r>
      <w:r>
        <w:rPr>
          <w:rFonts w:ascii="宋体" w:hAnsi="宋体" w:cs="Arial"/>
          <w:sz w:val="22"/>
          <w:szCs w:val="22"/>
        </w:rPr>
        <w:t>内容</w:t>
      </w:r>
    </w:p>
    <w:p>
      <w:pPr>
        <w:pStyle w:val="25"/>
        <w:adjustRightInd w:val="0"/>
        <w:snapToGrid w:val="0"/>
        <w:ind w:firstLine="440"/>
        <w:jc w:val="left"/>
        <w:rPr>
          <w:rFonts w:ascii="宋体" w:hAnsi="宋体"/>
          <w:sz w:val="22"/>
          <w:szCs w:val="22"/>
        </w:rPr>
      </w:pPr>
      <w:r>
        <w:rPr>
          <w:rFonts w:hint="eastAsia" w:ascii="宋体" w:hAnsi="宋体"/>
          <w:sz w:val="22"/>
          <w:szCs w:val="22"/>
        </w:rPr>
        <w:t>1、本项目涉及</w:t>
      </w:r>
      <w:r>
        <w:rPr>
          <w:rFonts w:hint="eastAsia" w:ascii="宋体" w:hAnsi="宋体" w:cs="Arial"/>
          <w:kern w:val="0"/>
          <w:sz w:val="22"/>
        </w:rPr>
        <w:t>杭州萧山国际机场</w:t>
      </w:r>
      <w:r>
        <w:rPr>
          <w:rFonts w:hint="eastAsia" w:ascii="宋体" w:hAnsi="宋体"/>
          <w:sz w:val="22"/>
          <w:szCs w:val="22"/>
        </w:rPr>
        <w:t>有</w:t>
      </w:r>
      <w:r>
        <w:rPr>
          <w:rFonts w:hint="eastAsia" w:ascii="宋体" w:hAnsi="宋体" w:cs="Arial"/>
          <w:kern w:val="0"/>
          <w:sz w:val="22"/>
        </w:rPr>
        <w:t>限公司2020-2022不正常赔偿用行李箱的供应，招标人根据实际需求，向本项目供应商指定时间、地点进行供货。</w:t>
      </w:r>
      <w:r>
        <w:rPr>
          <w:rFonts w:hint="eastAsia" w:ascii="宋体" w:hAnsi="宋体"/>
          <w:sz w:val="22"/>
          <w:szCs w:val="22"/>
        </w:rPr>
        <w:t>本项目招标行李箱主要为以下6种类型：</w:t>
      </w:r>
    </w:p>
    <w:tbl>
      <w:tblPr>
        <w:tblStyle w:val="17"/>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343"/>
        <w:gridCol w:w="1326"/>
        <w:gridCol w:w="1634"/>
        <w:gridCol w:w="958"/>
        <w:gridCol w:w="129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2343"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材质</w:t>
            </w:r>
          </w:p>
        </w:tc>
        <w:tc>
          <w:tcPr>
            <w:tcW w:w="1326"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尺寸（寸）</w:t>
            </w:r>
          </w:p>
        </w:tc>
        <w:tc>
          <w:tcPr>
            <w:tcW w:w="16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年参考用量</w:t>
            </w:r>
          </w:p>
        </w:tc>
        <w:tc>
          <w:tcPr>
            <w:tcW w:w="9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单位</w:t>
            </w:r>
          </w:p>
        </w:tc>
        <w:tc>
          <w:tcPr>
            <w:tcW w:w="1296"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服务期</w:t>
            </w:r>
          </w:p>
        </w:tc>
        <w:tc>
          <w:tcPr>
            <w:tcW w:w="1297"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供货数量及交货时间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w:t>
            </w:r>
          </w:p>
        </w:tc>
        <w:tc>
          <w:tcPr>
            <w:tcW w:w="2343"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牛津帆布万向轮拉杆箱</w:t>
            </w:r>
          </w:p>
        </w:tc>
        <w:tc>
          <w:tcPr>
            <w:tcW w:w="1326"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6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958"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个</w:t>
            </w:r>
          </w:p>
        </w:tc>
        <w:tc>
          <w:tcPr>
            <w:tcW w:w="1296"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2020年1月1日至2022年12月31日</w:t>
            </w:r>
          </w:p>
        </w:tc>
        <w:tc>
          <w:tcPr>
            <w:tcW w:w="1297" w:type="dxa"/>
            <w:vMerge w:val="restart"/>
            <w:vAlign w:val="center"/>
          </w:tcPr>
          <w:p>
            <w:pPr>
              <w:widowControl/>
              <w:adjustRightInd w:val="0"/>
              <w:snapToGrid w:val="0"/>
              <w:spacing w:line="360" w:lineRule="exact"/>
              <w:jc w:val="left"/>
              <w:rPr>
                <w:rFonts w:ascii="宋体" w:hAnsi="宋体" w:cs="Arial"/>
                <w:kern w:val="0"/>
                <w:sz w:val="22"/>
              </w:rPr>
            </w:pPr>
            <w:r>
              <w:rPr>
                <w:rFonts w:hint="eastAsia" w:ascii="宋体" w:hAnsi="宋体" w:cs="Calibri"/>
                <w:kern w:val="0"/>
                <w:sz w:val="22"/>
              </w:rPr>
              <w:t>实时响应叫货，单次交货时间：每次按实际供货指令交货，单次交货时间不得超过收到供货指令后10日历天。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w:t>
            </w:r>
          </w:p>
        </w:tc>
        <w:tc>
          <w:tcPr>
            <w:tcW w:w="2343" w:type="dxa"/>
            <w:vMerge w:val="continue"/>
            <w:vAlign w:val="center"/>
          </w:tcPr>
          <w:p>
            <w:pPr>
              <w:widowControl/>
              <w:adjustRightInd w:val="0"/>
              <w:snapToGrid w:val="0"/>
              <w:spacing w:line="360" w:lineRule="exact"/>
              <w:jc w:val="center"/>
              <w:rPr>
                <w:rFonts w:ascii="宋体" w:hAnsi="宋体" w:cs="Arial"/>
                <w:kern w:val="0"/>
                <w:sz w:val="22"/>
              </w:rPr>
            </w:pPr>
          </w:p>
        </w:tc>
        <w:tc>
          <w:tcPr>
            <w:tcW w:w="1326"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6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958" w:type="dxa"/>
            <w:vMerge w:val="continue"/>
            <w:vAlign w:val="center"/>
          </w:tcPr>
          <w:p>
            <w:pPr>
              <w:widowControl/>
              <w:adjustRightInd w:val="0"/>
              <w:snapToGrid w:val="0"/>
              <w:spacing w:line="360" w:lineRule="exact"/>
              <w:jc w:val="center"/>
              <w:rPr>
                <w:rFonts w:ascii="宋体" w:hAnsi="宋体" w:cs="Arial"/>
                <w:kern w:val="0"/>
                <w:sz w:val="22"/>
              </w:rPr>
            </w:pP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1297"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3</w:t>
            </w:r>
          </w:p>
        </w:tc>
        <w:tc>
          <w:tcPr>
            <w:tcW w:w="2343" w:type="dxa"/>
            <w:vMerge w:val="continue"/>
            <w:vAlign w:val="center"/>
          </w:tcPr>
          <w:p>
            <w:pPr>
              <w:widowControl/>
              <w:adjustRightInd w:val="0"/>
              <w:snapToGrid w:val="0"/>
              <w:spacing w:line="360" w:lineRule="exact"/>
              <w:jc w:val="center"/>
              <w:rPr>
                <w:rFonts w:ascii="宋体" w:hAnsi="宋体" w:cs="Arial"/>
                <w:kern w:val="0"/>
                <w:sz w:val="22"/>
              </w:rPr>
            </w:pPr>
          </w:p>
        </w:tc>
        <w:tc>
          <w:tcPr>
            <w:tcW w:w="1326"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6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600</w:t>
            </w:r>
          </w:p>
        </w:tc>
        <w:tc>
          <w:tcPr>
            <w:tcW w:w="958" w:type="dxa"/>
            <w:vMerge w:val="continue"/>
            <w:vAlign w:val="center"/>
          </w:tcPr>
          <w:p>
            <w:pPr>
              <w:widowControl/>
              <w:adjustRightInd w:val="0"/>
              <w:snapToGrid w:val="0"/>
              <w:spacing w:line="360" w:lineRule="exact"/>
              <w:jc w:val="center"/>
              <w:rPr>
                <w:rFonts w:ascii="宋体" w:hAnsi="宋体" w:cs="Arial"/>
                <w:kern w:val="0"/>
                <w:sz w:val="22"/>
              </w:rPr>
            </w:pP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1297"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4</w:t>
            </w:r>
          </w:p>
        </w:tc>
        <w:tc>
          <w:tcPr>
            <w:tcW w:w="2343"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塑料硬壳万向轮拉杆箱</w:t>
            </w:r>
          </w:p>
        </w:tc>
        <w:tc>
          <w:tcPr>
            <w:tcW w:w="1326"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6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2000</w:t>
            </w:r>
          </w:p>
        </w:tc>
        <w:tc>
          <w:tcPr>
            <w:tcW w:w="958" w:type="dxa"/>
            <w:vMerge w:val="continue"/>
            <w:vAlign w:val="center"/>
          </w:tcPr>
          <w:p>
            <w:pPr>
              <w:widowControl/>
              <w:adjustRightInd w:val="0"/>
              <w:snapToGrid w:val="0"/>
              <w:spacing w:line="360" w:lineRule="exact"/>
              <w:jc w:val="center"/>
              <w:rPr>
                <w:rFonts w:ascii="宋体" w:hAnsi="宋体" w:cs="Arial"/>
                <w:kern w:val="0"/>
                <w:sz w:val="22"/>
              </w:rPr>
            </w:pP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1297"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5</w:t>
            </w:r>
          </w:p>
        </w:tc>
        <w:tc>
          <w:tcPr>
            <w:tcW w:w="2343" w:type="dxa"/>
            <w:vMerge w:val="continue"/>
            <w:vAlign w:val="center"/>
          </w:tcPr>
          <w:p>
            <w:pPr>
              <w:widowControl/>
              <w:adjustRightInd w:val="0"/>
              <w:snapToGrid w:val="0"/>
              <w:spacing w:line="360" w:lineRule="exact"/>
              <w:jc w:val="center"/>
              <w:rPr>
                <w:rFonts w:ascii="宋体" w:hAnsi="宋体" w:cs="Arial"/>
                <w:kern w:val="0"/>
                <w:sz w:val="22"/>
              </w:rPr>
            </w:pPr>
          </w:p>
        </w:tc>
        <w:tc>
          <w:tcPr>
            <w:tcW w:w="1326"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6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1500</w:t>
            </w:r>
          </w:p>
        </w:tc>
        <w:tc>
          <w:tcPr>
            <w:tcW w:w="958" w:type="dxa"/>
            <w:vMerge w:val="continue"/>
            <w:vAlign w:val="center"/>
          </w:tcPr>
          <w:p>
            <w:pPr>
              <w:widowControl/>
              <w:adjustRightInd w:val="0"/>
              <w:snapToGrid w:val="0"/>
              <w:spacing w:line="360" w:lineRule="exact"/>
              <w:jc w:val="center"/>
              <w:rPr>
                <w:rFonts w:ascii="宋体" w:hAnsi="宋体" w:cs="Arial"/>
                <w:kern w:val="0"/>
                <w:sz w:val="22"/>
              </w:rPr>
            </w:pP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1297" w:type="dxa"/>
            <w:vMerge w:val="continue"/>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w:t>
            </w:r>
          </w:p>
        </w:tc>
        <w:tc>
          <w:tcPr>
            <w:tcW w:w="2343" w:type="dxa"/>
            <w:vMerge w:val="continue"/>
            <w:vAlign w:val="center"/>
          </w:tcPr>
          <w:p>
            <w:pPr>
              <w:widowControl/>
              <w:adjustRightInd w:val="0"/>
              <w:snapToGrid w:val="0"/>
              <w:spacing w:line="360" w:lineRule="exact"/>
              <w:jc w:val="center"/>
              <w:rPr>
                <w:rFonts w:ascii="宋体" w:hAnsi="宋体" w:cs="Arial"/>
                <w:kern w:val="0"/>
                <w:sz w:val="22"/>
              </w:rPr>
            </w:pPr>
          </w:p>
        </w:tc>
        <w:tc>
          <w:tcPr>
            <w:tcW w:w="1326"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634"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1200</w:t>
            </w:r>
          </w:p>
        </w:tc>
        <w:tc>
          <w:tcPr>
            <w:tcW w:w="958" w:type="dxa"/>
            <w:vMerge w:val="continue"/>
            <w:vAlign w:val="center"/>
          </w:tcPr>
          <w:p>
            <w:pPr>
              <w:widowControl/>
              <w:adjustRightInd w:val="0"/>
              <w:snapToGrid w:val="0"/>
              <w:spacing w:line="360" w:lineRule="exact"/>
              <w:jc w:val="center"/>
              <w:rPr>
                <w:rFonts w:ascii="宋体" w:hAnsi="宋体" w:cs="Arial"/>
                <w:kern w:val="0"/>
                <w:sz w:val="22"/>
              </w:rPr>
            </w:pP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1297" w:type="dxa"/>
            <w:vMerge w:val="continue"/>
            <w:vAlign w:val="center"/>
          </w:tcPr>
          <w:p>
            <w:pPr>
              <w:widowControl/>
              <w:adjustRightInd w:val="0"/>
              <w:snapToGrid w:val="0"/>
              <w:spacing w:line="360" w:lineRule="exact"/>
              <w:jc w:val="center"/>
              <w:rPr>
                <w:rFonts w:ascii="宋体" w:hAnsi="宋体" w:cs="Arial"/>
                <w:kern w:val="0"/>
                <w:sz w:val="22"/>
              </w:rPr>
            </w:pPr>
          </w:p>
        </w:tc>
      </w:tr>
    </w:tbl>
    <w:p>
      <w:pPr>
        <w:widowControl/>
        <w:adjustRightInd w:val="0"/>
        <w:snapToGrid w:val="0"/>
        <w:spacing w:line="340" w:lineRule="exact"/>
        <w:jc w:val="left"/>
        <w:rPr>
          <w:rFonts w:ascii="宋体" w:hAnsi="宋体"/>
          <w:sz w:val="22"/>
        </w:rPr>
      </w:pPr>
      <w:r>
        <w:rPr>
          <w:rStyle w:val="24"/>
          <w:rFonts w:cs="宋体" w:asciiTheme="minorEastAsia" w:hAnsiTheme="minorEastAsia"/>
          <w:b/>
          <w:bCs/>
          <w:sz w:val="22"/>
        </w:rPr>
        <w:t>上述列表中的“年参考用量”为预估数量，不作为最终的成交数量,也</w:t>
      </w:r>
      <w:r>
        <w:rPr>
          <w:rStyle w:val="24"/>
          <w:rFonts w:hint="eastAsia" w:cs="宋体" w:asciiTheme="minorEastAsia" w:hAnsiTheme="minorEastAsia"/>
          <w:b/>
          <w:bCs/>
          <w:sz w:val="22"/>
        </w:rPr>
        <w:t>不作为合同期内最低</w:t>
      </w:r>
      <w:r>
        <w:rPr>
          <w:rStyle w:val="24"/>
          <w:rFonts w:cs="宋体" w:asciiTheme="minorEastAsia" w:hAnsiTheme="minorEastAsia"/>
          <w:b/>
          <w:bCs/>
          <w:sz w:val="22"/>
        </w:rPr>
        <w:t>采购</w:t>
      </w:r>
      <w:r>
        <w:rPr>
          <w:rStyle w:val="24"/>
          <w:rFonts w:hint="eastAsia" w:cs="宋体" w:asciiTheme="minorEastAsia" w:hAnsiTheme="minorEastAsia"/>
          <w:b/>
          <w:bCs/>
          <w:sz w:val="22"/>
        </w:rPr>
        <w:t>额度，招标方将根据实际需求分批次进行采购，采购频率每两个月一次</w:t>
      </w:r>
      <w:r>
        <w:rPr>
          <w:rStyle w:val="24"/>
          <w:rFonts w:cs="宋体" w:asciiTheme="minorEastAsia" w:hAnsiTheme="minorEastAsia"/>
          <w:b/>
          <w:bCs/>
          <w:sz w:val="22"/>
        </w:rPr>
        <w:t>。</w:t>
      </w:r>
    </w:p>
    <w:p>
      <w:pPr>
        <w:pStyle w:val="25"/>
        <w:adjustRightInd w:val="0"/>
        <w:snapToGrid w:val="0"/>
        <w:ind w:firstLine="440"/>
        <w:jc w:val="left"/>
      </w:pPr>
      <w:r>
        <w:rPr>
          <w:rFonts w:hint="eastAsia" w:ascii="宋体" w:hAnsi="宋体"/>
          <w:sz w:val="22"/>
          <w:szCs w:val="22"/>
        </w:rPr>
        <w:t>投标</w:t>
      </w:r>
      <w:r>
        <w:rPr>
          <w:rFonts w:hint="eastAsia"/>
        </w:rPr>
        <w:t>人应根据行李箱材质、尺寸及单价，并结合投标人自身情况提供相应的选型（不同颜色价格不变），投标时提供如下样品（未提供样品的，予以否决投标处理）：</w:t>
      </w:r>
    </w:p>
    <w:p>
      <w:pPr>
        <w:pStyle w:val="25"/>
        <w:adjustRightInd w:val="0"/>
        <w:snapToGrid w:val="0"/>
        <w:jc w:val="left"/>
        <w:rPr>
          <w:rFonts w:ascii="宋体" w:hAnsi="宋体" w:cs="Arial"/>
          <w:kern w:val="0"/>
          <w:sz w:val="22"/>
        </w:rPr>
      </w:pPr>
      <w:r>
        <w:rPr>
          <w:rFonts w:hint="eastAsia"/>
        </w:rPr>
        <w:t>样品1：</w:t>
      </w:r>
      <w:r>
        <w:rPr>
          <w:rFonts w:hint="eastAsia" w:ascii="宋体" w:hAnsi="宋体" w:cs="Arial"/>
          <w:kern w:val="0"/>
          <w:sz w:val="22"/>
        </w:rPr>
        <w:t>牛津帆布万向轮拉杆箱，</w:t>
      </w:r>
      <w:r>
        <w:rPr>
          <w:rFonts w:hint="eastAsia" w:ascii="宋体" w:hAnsi="宋体" w:cs="Calibri"/>
          <w:snapToGrid w:val="0"/>
          <w:kern w:val="0"/>
          <w:sz w:val="22"/>
        </w:rPr>
        <w:t>20寸/24寸/28寸</w:t>
      </w:r>
      <w:r>
        <w:rPr>
          <w:rFonts w:hint="eastAsia" w:ascii="宋体" w:hAnsi="宋体" w:cs="Arial"/>
          <w:kern w:val="0"/>
          <w:sz w:val="22"/>
        </w:rPr>
        <w:t>，各一个；</w:t>
      </w:r>
    </w:p>
    <w:p>
      <w:pPr>
        <w:pStyle w:val="25"/>
        <w:adjustRightInd w:val="0"/>
        <w:snapToGrid w:val="0"/>
        <w:jc w:val="left"/>
        <w:rPr>
          <w:rFonts w:ascii="宋体" w:hAnsi="宋体" w:cs="Arial"/>
          <w:kern w:val="0"/>
          <w:sz w:val="22"/>
        </w:rPr>
      </w:pPr>
      <w:r>
        <w:rPr>
          <w:rFonts w:hint="eastAsia"/>
        </w:rPr>
        <w:t>样品2：</w:t>
      </w:r>
      <w:r>
        <w:rPr>
          <w:rFonts w:hint="eastAsia" w:ascii="宋体" w:hAnsi="宋体" w:cs="Arial"/>
          <w:kern w:val="0"/>
          <w:sz w:val="22"/>
        </w:rPr>
        <w:t>塑料硬壳万向轮拉杆箱，</w:t>
      </w:r>
      <w:r>
        <w:rPr>
          <w:rFonts w:hint="eastAsia" w:ascii="宋体" w:hAnsi="宋体" w:cs="Calibri"/>
          <w:snapToGrid w:val="0"/>
          <w:kern w:val="0"/>
          <w:sz w:val="22"/>
        </w:rPr>
        <w:t>20寸/24寸/28寸</w:t>
      </w:r>
      <w:r>
        <w:rPr>
          <w:rFonts w:hint="eastAsia" w:ascii="宋体" w:hAnsi="宋体" w:cs="Arial"/>
          <w:kern w:val="0"/>
          <w:sz w:val="22"/>
        </w:rPr>
        <w:t>，各一个。</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提供的样品将由招标人进行封样，实际供货将与招标样品进行比对，如尺寸、选型、品质、质量等存在差异的，将按违约处理。</w:t>
      </w:r>
    </w:p>
    <w:p>
      <w:pPr>
        <w:pStyle w:val="25"/>
        <w:adjustRightInd w:val="0"/>
        <w:snapToGrid w:val="0"/>
        <w:ind w:firstLine="440"/>
        <w:jc w:val="left"/>
        <w:rPr>
          <w:rFonts w:ascii="宋体" w:hAnsi="宋体" w:cs="Arial"/>
          <w:kern w:val="0"/>
          <w:sz w:val="22"/>
          <w:highlight w:val="yellow"/>
        </w:rPr>
      </w:pPr>
      <w:r>
        <w:rPr>
          <w:rFonts w:hint="eastAsia" w:ascii="宋体" w:hAnsi="宋体" w:cs="Arial"/>
          <w:kern w:val="0"/>
          <w:sz w:val="22"/>
          <w:highlight w:val="yellow"/>
        </w:rPr>
        <w:t>服务期：2020年1月1日至2022年12月31日。</w:t>
      </w:r>
    </w:p>
    <w:p>
      <w:pPr>
        <w:pStyle w:val="25"/>
        <w:adjustRightInd w:val="0"/>
        <w:snapToGrid w:val="0"/>
        <w:ind w:firstLine="440"/>
        <w:jc w:val="left"/>
        <w:rPr>
          <w:rFonts w:ascii="宋体" w:hAnsi="宋体" w:cs="Arial"/>
          <w:kern w:val="0"/>
          <w:sz w:val="22"/>
          <w:highlight w:val="yellow"/>
        </w:rPr>
      </w:pPr>
      <w:r>
        <w:rPr>
          <w:rFonts w:hint="eastAsia" w:ascii="宋体" w:hAnsi="宋体" w:cs="Arial"/>
          <w:kern w:val="0"/>
          <w:sz w:val="22"/>
          <w:highlight w:val="yellow"/>
        </w:rPr>
        <w:t>入库单位：3家。</w:t>
      </w:r>
    </w:p>
    <w:p>
      <w:pPr>
        <w:pStyle w:val="25"/>
        <w:adjustRightInd w:val="0"/>
        <w:snapToGrid w:val="0"/>
        <w:ind w:firstLine="440"/>
        <w:jc w:val="left"/>
        <w:rPr>
          <w:rFonts w:ascii="宋体" w:hAnsi="宋体" w:cs="Arial"/>
          <w:kern w:val="0"/>
          <w:sz w:val="22"/>
          <w:highlight w:val="yellow"/>
        </w:rPr>
      </w:pPr>
      <w:r>
        <w:rPr>
          <w:rFonts w:hint="eastAsia" w:ascii="宋体" w:hAnsi="宋体" w:cs="Arial"/>
          <w:kern w:val="0"/>
          <w:sz w:val="22"/>
          <w:highlight w:val="yellow"/>
        </w:rPr>
        <w:t>比价方式：本次投标报价为整个服务期的最高限价，每半年进行一次询价，招标人取询价后单个型号的最低价分别进行采购。</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2、质量要求</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2.1万向轮：组装配置牢固、滚动顺畅无噪音、有光泽，</w:t>
      </w:r>
      <w:r>
        <w:rPr>
          <w:rFonts w:ascii="宋体" w:hAnsi="宋体" w:cs="Arial"/>
          <w:kern w:val="0"/>
          <w:sz w:val="22"/>
        </w:rPr>
        <w:t>平推省力、适</w:t>
      </w:r>
      <w:r>
        <w:rPr>
          <w:rFonts w:hint="eastAsia" w:ascii="宋体" w:hAnsi="宋体" w:cs="Arial"/>
          <w:kern w:val="0"/>
          <w:sz w:val="22"/>
        </w:rPr>
        <w:t>用于相对光滑</w:t>
      </w:r>
      <w:r>
        <w:rPr>
          <w:rFonts w:ascii="宋体" w:hAnsi="宋体" w:cs="Arial"/>
          <w:kern w:val="0"/>
          <w:sz w:val="22"/>
        </w:rPr>
        <w:t>路面</w:t>
      </w:r>
      <w:r>
        <w:rPr>
          <w:rFonts w:hint="eastAsia" w:ascii="宋体" w:hAnsi="宋体" w:cs="Arial"/>
          <w:kern w:val="0"/>
          <w:sz w:val="22"/>
        </w:rPr>
        <w:t>；</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2.2</w:t>
      </w:r>
      <w:r>
        <w:rPr>
          <w:rFonts w:ascii="宋体" w:hAnsi="宋体" w:cs="Arial"/>
          <w:kern w:val="0"/>
          <w:sz w:val="22"/>
        </w:rPr>
        <w:t>拉杆</w:t>
      </w:r>
      <w:r>
        <w:rPr>
          <w:rFonts w:hint="eastAsia" w:ascii="宋体" w:hAnsi="宋体" w:cs="Arial"/>
          <w:kern w:val="0"/>
          <w:sz w:val="22"/>
        </w:rPr>
        <w:t>：形式为</w:t>
      </w:r>
      <w:r>
        <w:rPr>
          <w:rFonts w:ascii="宋体" w:hAnsi="宋体" w:cs="Arial"/>
          <w:kern w:val="0"/>
          <w:sz w:val="22"/>
        </w:rPr>
        <w:t>内置</w:t>
      </w:r>
      <w:r>
        <w:rPr>
          <w:rFonts w:hint="eastAsia" w:ascii="宋体" w:hAnsi="宋体" w:cs="Arial"/>
          <w:kern w:val="0"/>
          <w:sz w:val="22"/>
        </w:rPr>
        <w:t>型，</w:t>
      </w:r>
      <w:r>
        <w:rPr>
          <w:rFonts w:ascii="宋体" w:hAnsi="宋体" w:cs="Arial"/>
          <w:kern w:val="0"/>
          <w:sz w:val="22"/>
        </w:rPr>
        <w:t>材质</w:t>
      </w:r>
      <w:r>
        <w:rPr>
          <w:rFonts w:hint="eastAsia" w:ascii="宋体" w:hAnsi="宋体" w:cs="Arial"/>
          <w:kern w:val="0"/>
          <w:sz w:val="22"/>
        </w:rPr>
        <w:t>采用</w:t>
      </w:r>
      <w:r>
        <w:rPr>
          <w:rFonts w:ascii="宋体" w:hAnsi="宋体" w:cs="Arial"/>
          <w:kern w:val="0"/>
          <w:sz w:val="22"/>
        </w:rPr>
        <w:t>铝合金</w:t>
      </w:r>
      <w:r>
        <w:rPr>
          <w:rFonts w:hint="eastAsia" w:ascii="宋体" w:hAnsi="宋体" w:cs="Arial"/>
          <w:kern w:val="0"/>
          <w:sz w:val="22"/>
        </w:rPr>
        <w:t>或类似材质</w:t>
      </w:r>
      <w:r>
        <w:rPr>
          <w:rFonts w:ascii="宋体" w:hAnsi="宋体" w:cs="Arial"/>
          <w:kern w:val="0"/>
          <w:sz w:val="22"/>
        </w:rPr>
        <w:t>，</w:t>
      </w:r>
      <w:r>
        <w:rPr>
          <w:rFonts w:hint="eastAsia" w:ascii="宋体" w:hAnsi="宋体" w:cs="Arial"/>
          <w:kern w:val="0"/>
          <w:sz w:val="22"/>
        </w:rPr>
        <w:t>要求</w:t>
      </w:r>
      <w:r>
        <w:rPr>
          <w:rFonts w:ascii="宋体" w:hAnsi="宋体" w:cs="Arial"/>
          <w:kern w:val="0"/>
          <w:sz w:val="22"/>
        </w:rPr>
        <w:t>质轻坚固</w:t>
      </w:r>
      <w:r>
        <w:rPr>
          <w:rFonts w:hint="eastAsia" w:ascii="宋体" w:hAnsi="宋体" w:cs="Arial"/>
          <w:kern w:val="0"/>
          <w:sz w:val="22"/>
        </w:rPr>
        <w:t>、</w:t>
      </w:r>
      <w:r>
        <w:rPr>
          <w:rFonts w:ascii="宋体" w:hAnsi="宋体" w:cs="Arial"/>
          <w:kern w:val="0"/>
          <w:sz w:val="22"/>
        </w:rPr>
        <w:t>不易变形</w:t>
      </w:r>
      <w:r>
        <w:rPr>
          <w:rFonts w:hint="eastAsia" w:ascii="宋体" w:hAnsi="宋体" w:cs="Arial"/>
          <w:kern w:val="0"/>
          <w:sz w:val="22"/>
        </w:rPr>
        <w:t>、</w:t>
      </w:r>
      <w:r>
        <w:rPr>
          <w:rFonts w:ascii="宋体" w:hAnsi="宋体" w:cs="Arial"/>
          <w:kern w:val="0"/>
          <w:sz w:val="22"/>
        </w:rPr>
        <w:t>不</w:t>
      </w:r>
      <w:r>
        <w:rPr>
          <w:rFonts w:hint="eastAsia" w:ascii="宋体" w:hAnsi="宋体" w:cs="Arial"/>
          <w:kern w:val="0"/>
          <w:sz w:val="22"/>
        </w:rPr>
        <w:t>易</w:t>
      </w:r>
      <w:r>
        <w:rPr>
          <w:rFonts w:ascii="宋体" w:hAnsi="宋体" w:cs="Arial"/>
          <w:kern w:val="0"/>
          <w:sz w:val="22"/>
        </w:rPr>
        <w:t>生锈。拉杆整个拉出加上箱体总长是一米±5cm</w:t>
      </w:r>
      <w:r>
        <w:rPr>
          <w:rFonts w:hint="eastAsia" w:ascii="宋体" w:hAnsi="宋体" w:cs="Arial"/>
          <w:kern w:val="0"/>
          <w:sz w:val="22"/>
        </w:rPr>
        <w:t>；</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2.3</w:t>
      </w:r>
      <w:r>
        <w:rPr>
          <w:rFonts w:ascii="宋体" w:hAnsi="宋体" w:cs="Arial"/>
          <w:kern w:val="0"/>
          <w:sz w:val="22"/>
        </w:rPr>
        <w:t>密码锁</w:t>
      </w:r>
      <w:r>
        <w:rPr>
          <w:rFonts w:hint="eastAsia" w:ascii="宋体" w:hAnsi="宋体" w:cs="Arial"/>
          <w:kern w:val="0"/>
          <w:sz w:val="22"/>
        </w:rPr>
        <w:t>：方便实用，操作简便；</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2.4牛津帆布：有较强的高弹形变能力，抗冲击柔韧性强，携带轻便，抗寒耐热；</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2.5塑料硬壳：选用ABS材质、PC材质、PP材质、PE材质等材质（或组合材质），要求抗摔、防水、耐冲击、耐磨、表面光泽性好等；</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2.6性能要求：</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耐冲击性能：在规定负重条件下进行跌落试验后，箱体、箱口、金属衬架不变形、不开裂，走轮、轮轴、支架不变形、断裂，固定件、连接件、锁不变形、不松动、无损坏，箱（包）锁开启灵活；</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硬箱箱体耐静压性能：硬功夫箱箱面按规定负重在4h</w:t>
      </w:r>
      <w:r>
        <w:rPr>
          <w:rFonts w:ascii="宋体" w:hAnsi="宋体" w:cs="Arial"/>
          <w:kern w:val="0"/>
          <w:sz w:val="22"/>
        </w:rPr>
        <w:t>内连续承受静压，箱体、箱口不变形、不开裂，箱壳不塌陷</w:t>
      </w:r>
      <w:r>
        <w:rPr>
          <w:rFonts w:hint="eastAsia" w:ascii="宋体" w:hAnsi="宋体" w:cs="Arial"/>
          <w:kern w:val="0"/>
          <w:sz w:val="22"/>
        </w:rPr>
        <w:t>；</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硬箱箱面耐落球冲击性能：硬箱箱面经4000g</w:t>
      </w:r>
      <w:r>
        <w:rPr>
          <w:rFonts w:ascii="宋体" w:hAnsi="宋体" w:cs="Arial"/>
          <w:kern w:val="0"/>
          <w:sz w:val="22"/>
        </w:rPr>
        <w:t>钢球冲击后箱面不变形、开裂</w:t>
      </w:r>
      <w:r>
        <w:rPr>
          <w:rFonts w:hint="eastAsia" w:ascii="宋体" w:hAnsi="宋体" w:cs="Arial"/>
          <w:kern w:val="0"/>
          <w:sz w:val="22"/>
        </w:rPr>
        <w:t>；</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缝合强度：软箱、旅行包缝合强度不小于196N；</w:t>
      </w:r>
    </w:p>
    <w:p>
      <w:pPr>
        <w:pStyle w:val="25"/>
        <w:adjustRightInd w:val="0"/>
        <w:snapToGrid w:val="0"/>
        <w:ind w:firstLine="440"/>
        <w:jc w:val="left"/>
        <w:rPr>
          <w:rFonts w:ascii="宋体" w:hAnsi="宋体" w:cs="Arial"/>
          <w:kern w:val="0"/>
          <w:sz w:val="22"/>
        </w:rPr>
      </w:pPr>
      <w:r>
        <w:rPr>
          <w:rFonts w:hint="eastAsia" w:ascii="宋体" w:hAnsi="宋体" w:cs="Arial"/>
          <w:kern w:val="0"/>
          <w:sz w:val="22"/>
        </w:rPr>
        <w:t>五金配件耐腐蚀性：镀铬件测试12h</w:t>
      </w:r>
      <w:r>
        <w:rPr>
          <w:rFonts w:ascii="宋体" w:hAnsi="宋体" w:cs="Arial"/>
          <w:kern w:val="0"/>
          <w:sz w:val="22"/>
        </w:rPr>
        <w:t>，镀镍件、镀锌件测试6h，镀层腐蚀面积不大于4%。</w:t>
      </w:r>
    </w:p>
    <w:p>
      <w:pPr>
        <w:pStyle w:val="25"/>
        <w:adjustRightInd w:val="0"/>
        <w:snapToGrid w:val="0"/>
        <w:ind w:firstLine="440"/>
        <w:jc w:val="left"/>
        <w:rPr>
          <w:rFonts w:ascii="宋体" w:hAnsi="宋体"/>
          <w:sz w:val="22"/>
          <w:szCs w:val="22"/>
        </w:rPr>
      </w:pPr>
      <w:r>
        <w:rPr>
          <w:rFonts w:hint="eastAsia" w:ascii="宋体" w:hAnsi="宋体" w:cs="Arial"/>
          <w:kern w:val="0"/>
          <w:sz w:val="22"/>
        </w:rPr>
        <w:t>2.7符合《旅行箱包行业标准》、《箱包业国家标准ZBY 45002-88》、《箱包验收标准》、《箱包产品外观质量检测标准》、《箱包类行业标准》等箱包类</w:t>
      </w:r>
      <w:r>
        <w:rPr>
          <w:rFonts w:ascii="宋体" w:hAnsi="宋体"/>
          <w:sz w:val="22"/>
          <w:szCs w:val="22"/>
        </w:rPr>
        <w:t>相关</w:t>
      </w:r>
      <w:r>
        <w:rPr>
          <w:rFonts w:hint="eastAsia" w:ascii="宋体" w:hAnsi="宋体" w:cs="Arial"/>
          <w:kern w:val="0"/>
          <w:sz w:val="22"/>
        </w:rPr>
        <w:t>行业</w:t>
      </w:r>
      <w:r>
        <w:rPr>
          <w:rFonts w:ascii="宋体" w:hAnsi="宋体"/>
          <w:sz w:val="22"/>
          <w:szCs w:val="22"/>
        </w:rPr>
        <w:t>标准及规范</w:t>
      </w:r>
      <w:r>
        <w:rPr>
          <w:rFonts w:hint="eastAsia" w:ascii="宋体" w:hAnsi="宋体"/>
          <w:sz w:val="22"/>
          <w:szCs w:val="22"/>
        </w:rPr>
        <w:t>。</w:t>
      </w:r>
    </w:p>
    <w:p>
      <w:pPr>
        <w:pStyle w:val="25"/>
        <w:adjustRightInd w:val="0"/>
        <w:snapToGrid w:val="0"/>
        <w:ind w:firstLine="440"/>
        <w:jc w:val="left"/>
        <w:rPr>
          <w:rFonts w:ascii="宋体" w:hAnsi="宋体"/>
          <w:sz w:val="22"/>
          <w:szCs w:val="22"/>
        </w:rPr>
      </w:pPr>
      <w:r>
        <w:rPr>
          <w:rFonts w:hint="eastAsia" w:ascii="宋体" w:hAnsi="宋体"/>
          <w:sz w:val="22"/>
          <w:szCs w:val="22"/>
        </w:rPr>
        <w:t>3、其它要求：箱包需配有商品标签及条形码。</w:t>
      </w:r>
    </w:p>
    <w:p>
      <w:pPr>
        <w:pStyle w:val="3"/>
        <w:adjustRightInd w:val="0"/>
        <w:snapToGrid w:val="0"/>
        <w:spacing w:before="360" w:after="0" w:line="360" w:lineRule="exact"/>
        <w:jc w:val="left"/>
        <w:rPr>
          <w:rFonts w:ascii="宋体" w:hAnsi="宋体" w:cs="Arial"/>
          <w:sz w:val="22"/>
          <w:szCs w:val="22"/>
        </w:rPr>
      </w:pPr>
      <w:r>
        <w:rPr>
          <w:rFonts w:hint="eastAsia" w:ascii="宋体" w:hAnsi="宋体" w:cs="Arial"/>
          <w:sz w:val="22"/>
          <w:szCs w:val="22"/>
        </w:rPr>
        <w:t>四</w:t>
      </w:r>
      <w:r>
        <w:rPr>
          <w:rFonts w:ascii="宋体" w:hAnsi="宋体" w:cs="Arial"/>
          <w:sz w:val="22"/>
          <w:szCs w:val="22"/>
        </w:rPr>
        <w:t>、工作范围</w:t>
      </w:r>
    </w:p>
    <w:p>
      <w:pPr>
        <w:pStyle w:val="25"/>
        <w:adjustRightInd w:val="0"/>
        <w:snapToGrid w:val="0"/>
        <w:ind w:firstLine="440"/>
        <w:jc w:val="left"/>
        <w:rPr>
          <w:rFonts w:ascii="宋体" w:hAnsi="宋体"/>
          <w:sz w:val="22"/>
          <w:szCs w:val="22"/>
        </w:rPr>
      </w:pPr>
      <w:r>
        <w:rPr>
          <w:rFonts w:ascii="宋体" w:hAnsi="宋体"/>
          <w:sz w:val="22"/>
          <w:szCs w:val="22"/>
        </w:rPr>
        <w:t>各投标人须按国家有关标准及规范完成招标文件规定的所有工作内容：</w:t>
      </w:r>
    </w:p>
    <w:p>
      <w:pPr>
        <w:pStyle w:val="25"/>
        <w:adjustRightInd w:val="0"/>
        <w:snapToGrid w:val="0"/>
        <w:ind w:firstLine="440"/>
        <w:jc w:val="left"/>
        <w:rPr>
          <w:rFonts w:ascii="宋体" w:hAnsi="宋体"/>
          <w:sz w:val="22"/>
          <w:szCs w:val="22"/>
        </w:rPr>
      </w:pPr>
      <w:r>
        <w:rPr>
          <w:rFonts w:hint="eastAsia" w:ascii="宋体" w:hAnsi="宋体"/>
          <w:sz w:val="22"/>
          <w:szCs w:val="22"/>
        </w:rPr>
        <w:t>1、完成材料采购、制造生产、储存、运输、交付、质保等；</w:t>
      </w:r>
    </w:p>
    <w:p>
      <w:pPr>
        <w:pStyle w:val="25"/>
        <w:adjustRightInd w:val="0"/>
        <w:snapToGrid w:val="0"/>
        <w:ind w:firstLine="440"/>
        <w:jc w:val="left"/>
        <w:rPr>
          <w:rFonts w:ascii="宋体" w:hAnsi="宋体"/>
          <w:sz w:val="22"/>
          <w:szCs w:val="22"/>
        </w:rPr>
      </w:pPr>
      <w:r>
        <w:rPr>
          <w:rFonts w:hint="eastAsia" w:ascii="宋体" w:hAnsi="宋体"/>
          <w:sz w:val="22"/>
          <w:szCs w:val="22"/>
        </w:rPr>
        <w:t>2、履行所有规定服务；</w:t>
      </w:r>
    </w:p>
    <w:p>
      <w:pPr>
        <w:pStyle w:val="25"/>
        <w:adjustRightInd w:val="0"/>
        <w:snapToGrid w:val="0"/>
        <w:ind w:firstLine="440"/>
        <w:jc w:val="left"/>
        <w:rPr>
          <w:rFonts w:ascii="宋体" w:hAnsi="宋体"/>
          <w:sz w:val="22"/>
          <w:szCs w:val="22"/>
        </w:rPr>
      </w:pPr>
      <w:r>
        <w:rPr>
          <w:rFonts w:hint="eastAsia" w:ascii="宋体" w:hAnsi="宋体"/>
          <w:sz w:val="22"/>
          <w:szCs w:val="22"/>
        </w:rPr>
        <w:t>3、产品及服务须达到招标文件规定的质量标准及要求。</w:t>
      </w:r>
    </w:p>
    <w:p>
      <w:pPr>
        <w:pStyle w:val="3"/>
        <w:adjustRightInd w:val="0"/>
        <w:snapToGrid w:val="0"/>
        <w:spacing w:before="360" w:after="0" w:line="360" w:lineRule="exact"/>
        <w:jc w:val="left"/>
        <w:rPr>
          <w:rFonts w:ascii="宋体" w:hAnsi="宋体"/>
          <w:sz w:val="22"/>
          <w:szCs w:val="22"/>
        </w:rPr>
      </w:pPr>
      <w:r>
        <w:rPr>
          <w:rFonts w:hint="eastAsia" w:ascii="宋体" w:hAnsi="宋体"/>
          <w:sz w:val="22"/>
          <w:szCs w:val="22"/>
        </w:rPr>
        <w:t>五、招标要求</w:t>
      </w:r>
    </w:p>
    <w:p>
      <w:pPr>
        <w:pStyle w:val="25"/>
        <w:adjustRightInd w:val="0"/>
        <w:snapToGrid w:val="0"/>
        <w:ind w:firstLine="440"/>
        <w:jc w:val="left"/>
        <w:rPr>
          <w:rFonts w:ascii="宋体" w:hAnsi="宋体"/>
          <w:sz w:val="22"/>
          <w:szCs w:val="22"/>
        </w:rPr>
      </w:pPr>
      <w:r>
        <w:rPr>
          <w:rFonts w:hint="eastAsia" w:ascii="宋体" w:hAnsi="宋体"/>
          <w:sz w:val="22"/>
          <w:szCs w:val="22"/>
        </w:rPr>
        <w:t>1、在行李箱需求时，招标人将事先通知供应商补货需求，具体数量、颜色、供货时间，投标人应在10日历天内送达机场指定地点，并根据招标人要求进行卸货。</w:t>
      </w:r>
    </w:p>
    <w:p>
      <w:pPr>
        <w:pStyle w:val="25"/>
        <w:adjustRightInd w:val="0"/>
        <w:snapToGrid w:val="0"/>
        <w:ind w:firstLine="440"/>
        <w:jc w:val="left"/>
        <w:rPr>
          <w:rFonts w:ascii="宋体" w:hAnsi="宋体"/>
          <w:sz w:val="22"/>
          <w:szCs w:val="22"/>
        </w:rPr>
      </w:pPr>
      <w:r>
        <w:rPr>
          <w:rFonts w:hint="eastAsia" w:ascii="宋体" w:hAnsi="宋体"/>
          <w:sz w:val="22"/>
          <w:szCs w:val="22"/>
        </w:rPr>
        <w:t>2、投标人须实时响应叫货。</w:t>
      </w:r>
    </w:p>
    <w:p>
      <w:pPr>
        <w:pStyle w:val="25"/>
        <w:adjustRightInd w:val="0"/>
        <w:snapToGrid w:val="0"/>
        <w:ind w:firstLine="440"/>
        <w:jc w:val="left"/>
        <w:rPr>
          <w:rFonts w:ascii="宋体" w:hAnsi="宋体"/>
          <w:sz w:val="22"/>
        </w:rPr>
      </w:pPr>
      <w:r>
        <w:rPr>
          <w:rFonts w:ascii="宋体" w:hAnsi="宋体"/>
          <w:sz w:val="22"/>
          <w:szCs w:val="22"/>
        </w:rPr>
        <w:t>3、</w:t>
      </w:r>
      <w:r>
        <w:rPr>
          <w:rFonts w:hint="eastAsia" w:ascii="宋体" w:hAnsi="宋体"/>
          <w:sz w:val="22"/>
          <w:szCs w:val="22"/>
        </w:rPr>
        <w:t>若收到货后发现货物品种、型号、规格、数量或质量不符合相关要求的，招标人保留拒收、拒付的权利。投标人应当在收到异议之日起【</w:t>
      </w:r>
      <w:r>
        <w:rPr>
          <w:rFonts w:ascii="宋体" w:hAnsi="宋体"/>
          <w:sz w:val="22"/>
          <w:szCs w:val="22"/>
        </w:rPr>
        <w:t>24】小时内作出答复，</w:t>
      </w:r>
      <w:r>
        <w:rPr>
          <w:rFonts w:hint="eastAsia" w:ascii="宋体" w:hAnsi="宋体"/>
          <w:sz w:val="22"/>
          <w:szCs w:val="22"/>
        </w:rPr>
        <w:t>投标人在【</w:t>
      </w:r>
      <w:r>
        <w:rPr>
          <w:rFonts w:ascii="宋体" w:hAnsi="宋体"/>
          <w:sz w:val="22"/>
          <w:szCs w:val="22"/>
        </w:rPr>
        <w:t>24】小时内未作出答复</w:t>
      </w:r>
      <w:r>
        <w:rPr>
          <w:rFonts w:hint="eastAsia" w:ascii="宋体" w:hAnsi="宋体"/>
          <w:sz w:val="22"/>
          <w:szCs w:val="22"/>
        </w:rPr>
        <w:t>的，投标人直接按招标人要求进行处理，并承担由此产生的全部费用。</w:t>
      </w:r>
    </w:p>
    <w:p>
      <w:pPr>
        <w:pStyle w:val="25"/>
        <w:adjustRightInd w:val="0"/>
        <w:snapToGrid w:val="0"/>
        <w:ind w:firstLine="440"/>
        <w:jc w:val="left"/>
        <w:rPr>
          <w:rFonts w:ascii="宋体" w:hAnsi="宋体"/>
          <w:bCs/>
          <w:sz w:val="22"/>
        </w:rPr>
      </w:pPr>
      <w:r>
        <w:rPr>
          <w:rFonts w:ascii="宋体" w:hAnsi="宋体"/>
          <w:bCs/>
          <w:sz w:val="22"/>
          <w:szCs w:val="22"/>
        </w:rPr>
        <w:t>4.</w:t>
      </w:r>
      <w:r>
        <w:rPr>
          <w:rFonts w:hint="eastAsia" w:ascii="宋体" w:hAnsi="宋体"/>
          <w:bCs/>
          <w:sz w:val="22"/>
          <w:szCs w:val="22"/>
        </w:rPr>
        <w:t>投标人应确保行李箱符合国家标准及安全。</w:t>
      </w:r>
    </w:p>
    <w:p>
      <w:pPr>
        <w:pStyle w:val="25"/>
        <w:adjustRightInd w:val="0"/>
        <w:snapToGrid w:val="0"/>
        <w:ind w:firstLine="440"/>
        <w:jc w:val="left"/>
        <w:rPr>
          <w:rFonts w:ascii="宋体" w:hAnsi="宋体"/>
          <w:bCs/>
          <w:sz w:val="22"/>
        </w:rPr>
      </w:pPr>
      <w:r>
        <w:rPr>
          <w:rFonts w:ascii="宋体" w:hAnsi="宋体"/>
          <w:bCs/>
          <w:sz w:val="22"/>
          <w:szCs w:val="22"/>
        </w:rPr>
        <w:t>5.</w:t>
      </w:r>
      <w:r>
        <w:rPr>
          <w:rFonts w:hint="eastAsia" w:ascii="宋体" w:hAnsi="宋体"/>
          <w:bCs/>
          <w:sz w:val="22"/>
          <w:szCs w:val="22"/>
        </w:rPr>
        <w:t>招标人有权随时监督检查投标人提供的箱包质量或指令第三方检查机构进行检查，检查费用由投标人支付，投标人应予以配合。</w:t>
      </w:r>
    </w:p>
    <w:p>
      <w:pPr>
        <w:pStyle w:val="25"/>
        <w:adjustRightInd w:val="0"/>
        <w:snapToGrid w:val="0"/>
        <w:ind w:firstLine="440"/>
        <w:jc w:val="left"/>
        <w:rPr>
          <w:sz w:val="24"/>
        </w:rPr>
      </w:pPr>
      <w:r>
        <w:rPr>
          <w:rFonts w:ascii="宋体" w:hAnsi="宋体"/>
          <w:bCs/>
          <w:sz w:val="22"/>
          <w:szCs w:val="22"/>
        </w:rPr>
        <w:t>5.</w:t>
      </w:r>
      <w:r>
        <w:rPr>
          <w:rFonts w:hint="eastAsia" w:ascii="宋体" w:hAnsi="宋体"/>
          <w:bCs/>
          <w:sz w:val="22"/>
          <w:szCs w:val="22"/>
        </w:rPr>
        <w:t>行李箱免费质保期为一年，自双方对货物验收合格之日起开始计算质保期，如因投标人原因产生的质量问题，投标人负责包退包换，同时质量保修期重新进行计算。</w:t>
      </w:r>
    </w:p>
    <w:p>
      <w:r>
        <w:br w:type="page"/>
      </w:r>
    </w:p>
    <w:p>
      <w:pPr>
        <w:pStyle w:val="14"/>
      </w:pPr>
      <w:bookmarkStart w:id="16" w:name="_Toc6733"/>
      <w:bookmarkStart w:id="17" w:name="_Toc6653"/>
      <w:bookmarkStart w:id="18" w:name="_Toc24268"/>
      <w:bookmarkStart w:id="19" w:name="_Toc17052"/>
      <w:r>
        <w:t>第</w:t>
      </w:r>
      <w:r>
        <w:rPr>
          <w:rFonts w:hint="eastAsia"/>
        </w:rPr>
        <w:t>四</w:t>
      </w:r>
      <w:r>
        <w:t>章</w:t>
      </w:r>
      <w:r>
        <w:rPr>
          <w:rFonts w:hint="eastAsia"/>
        </w:rPr>
        <w:t xml:space="preserve"> </w:t>
      </w:r>
      <w:r>
        <w:t>合同条款</w:t>
      </w:r>
      <w:bookmarkEnd w:id="11"/>
      <w:bookmarkEnd w:id="16"/>
      <w:bookmarkEnd w:id="17"/>
      <w:bookmarkEnd w:id="18"/>
      <w:bookmarkEnd w:id="19"/>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outlineLvl w:val="0"/>
        <w:rPr>
          <w:rFonts w:ascii="宋体" w:hAnsi="宋体"/>
          <w:sz w:val="22"/>
        </w:rPr>
      </w:pPr>
      <w:bookmarkStart w:id="20" w:name="_Toc27273"/>
      <w:bookmarkStart w:id="21" w:name="_Toc16760"/>
      <w:bookmarkStart w:id="22" w:name="_Toc19753"/>
      <w:bookmarkStart w:id="23" w:name="_Toc31576"/>
      <w:bookmarkStart w:id="24" w:name="_Toc15593"/>
      <w:bookmarkStart w:id="25" w:name="_Toc18319"/>
      <w:r>
        <w:rPr>
          <w:rFonts w:hint="eastAsia" w:ascii="宋体" w:hAnsi="宋体"/>
          <w:b/>
          <w:bCs/>
          <w:sz w:val="22"/>
        </w:rPr>
        <w:t>一、产品规格、价格及样品照片</w:t>
      </w:r>
      <w:bookmarkEnd w:id="20"/>
      <w:bookmarkEnd w:id="21"/>
      <w:bookmarkEnd w:id="22"/>
      <w:bookmarkEnd w:id="23"/>
      <w:bookmarkEnd w:id="24"/>
      <w:bookmarkEnd w:id="25"/>
    </w:p>
    <w:tbl>
      <w:tblPr>
        <w:tblStyle w:val="16"/>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02"/>
        <w:gridCol w:w="1438"/>
        <w:gridCol w:w="228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54" w:type="dxa"/>
            <w:vAlign w:val="center"/>
          </w:tcPr>
          <w:p>
            <w:pPr>
              <w:pStyle w:val="26"/>
              <w:snapToGrid w:val="0"/>
              <w:jc w:val="center"/>
              <w:rPr>
                <w:rFonts w:ascii="宋体" w:hAnsi="宋体"/>
                <w:b/>
                <w:sz w:val="22"/>
              </w:rPr>
            </w:pPr>
            <w:r>
              <w:rPr>
                <w:rFonts w:hint="eastAsia" w:ascii="宋体" w:hAnsi="宋体"/>
                <w:b/>
                <w:sz w:val="22"/>
              </w:rPr>
              <w:t>序号</w:t>
            </w:r>
          </w:p>
        </w:tc>
        <w:tc>
          <w:tcPr>
            <w:tcW w:w="1402" w:type="dxa"/>
            <w:vAlign w:val="center"/>
          </w:tcPr>
          <w:p>
            <w:pPr>
              <w:pStyle w:val="26"/>
              <w:snapToGrid w:val="0"/>
              <w:jc w:val="center"/>
              <w:rPr>
                <w:rFonts w:ascii="宋体" w:hAnsi="宋体"/>
                <w:b/>
                <w:sz w:val="22"/>
              </w:rPr>
            </w:pPr>
            <w:r>
              <w:rPr>
                <w:rFonts w:hint="eastAsia" w:ascii="宋体" w:hAnsi="宋体"/>
                <w:b/>
                <w:sz w:val="22"/>
              </w:rPr>
              <w:t>产品名称</w:t>
            </w:r>
          </w:p>
        </w:tc>
        <w:tc>
          <w:tcPr>
            <w:tcW w:w="1438" w:type="dxa"/>
            <w:vAlign w:val="center"/>
          </w:tcPr>
          <w:p>
            <w:pPr>
              <w:pStyle w:val="26"/>
              <w:snapToGrid w:val="0"/>
              <w:jc w:val="center"/>
              <w:rPr>
                <w:rFonts w:ascii="宋体" w:hAnsi="宋体"/>
                <w:b/>
                <w:sz w:val="22"/>
              </w:rPr>
            </w:pPr>
            <w:r>
              <w:rPr>
                <w:rFonts w:hint="eastAsia" w:ascii="宋体" w:hAnsi="宋体"/>
                <w:b/>
                <w:sz w:val="22"/>
              </w:rPr>
              <w:t>规格尺寸</w:t>
            </w:r>
          </w:p>
          <w:p>
            <w:pPr>
              <w:pStyle w:val="26"/>
              <w:snapToGrid w:val="0"/>
              <w:jc w:val="center"/>
              <w:rPr>
                <w:rFonts w:ascii="宋体" w:hAnsi="宋体"/>
                <w:b/>
                <w:sz w:val="22"/>
              </w:rPr>
            </w:pPr>
            <w:r>
              <w:rPr>
                <w:rFonts w:hint="eastAsia" w:ascii="宋体" w:hAnsi="宋体"/>
                <w:b/>
                <w:sz w:val="22"/>
              </w:rPr>
              <w:t>（寸）</w:t>
            </w:r>
          </w:p>
        </w:tc>
        <w:tc>
          <w:tcPr>
            <w:tcW w:w="2280" w:type="dxa"/>
            <w:vAlign w:val="center"/>
          </w:tcPr>
          <w:p>
            <w:pPr>
              <w:pStyle w:val="26"/>
              <w:snapToGrid w:val="0"/>
              <w:jc w:val="center"/>
            </w:pPr>
            <w:r>
              <w:rPr>
                <w:rFonts w:hint="eastAsia" w:ascii="宋体" w:hAnsi="宋体"/>
                <w:b/>
                <w:sz w:val="22"/>
              </w:rPr>
              <w:t>交货时间</w:t>
            </w:r>
          </w:p>
        </w:tc>
        <w:tc>
          <w:tcPr>
            <w:tcW w:w="1476" w:type="dxa"/>
            <w:vAlign w:val="center"/>
          </w:tcPr>
          <w:p>
            <w:pPr>
              <w:pStyle w:val="26"/>
              <w:snapToGrid w:val="0"/>
              <w:jc w:val="center"/>
              <w:rPr>
                <w:rFonts w:ascii="宋体" w:hAnsi="宋体"/>
                <w:b/>
                <w:sz w:val="22"/>
              </w:rPr>
            </w:pPr>
            <w:r>
              <w:rPr>
                <w:rFonts w:hint="eastAsia" w:ascii="宋体" w:hAnsi="宋体"/>
                <w:b/>
                <w:sz w:val="22"/>
              </w:rPr>
              <w:t>单位</w:t>
            </w:r>
          </w:p>
          <w:p>
            <w:pPr>
              <w:pStyle w:val="26"/>
              <w:snapToGrid w:val="0"/>
              <w:jc w:val="center"/>
              <w:rPr>
                <w:rFonts w:ascii="宋体" w:hAnsi="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pStyle w:val="26"/>
              <w:snapToGrid w:val="0"/>
              <w:jc w:val="center"/>
              <w:rPr>
                <w:rFonts w:ascii="宋体" w:hAnsi="宋体"/>
                <w:bCs/>
                <w:sz w:val="22"/>
              </w:rPr>
            </w:pPr>
            <w:r>
              <w:rPr>
                <w:rFonts w:hint="eastAsia" w:ascii="宋体" w:hAnsi="宋体"/>
                <w:bCs/>
                <w:sz w:val="22"/>
              </w:rPr>
              <w:t>1</w:t>
            </w:r>
          </w:p>
        </w:tc>
        <w:tc>
          <w:tcPr>
            <w:tcW w:w="1402" w:type="dxa"/>
            <w:vMerge w:val="restart"/>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牛津帆布万向轮拉杆箱</w:t>
            </w:r>
          </w:p>
        </w:tc>
        <w:tc>
          <w:tcPr>
            <w:tcW w:w="1438" w:type="dxa"/>
            <w:shd w:val="clear" w:color="auto" w:fill="auto"/>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28</w:t>
            </w:r>
          </w:p>
        </w:tc>
        <w:tc>
          <w:tcPr>
            <w:tcW w:w="2280" w:type="dxa"/>
            <w:vMerge w:val="restart"/>
            <w:vAlign w:val="center"/>
          </w:tcPr>
          <w:p>
            <w:pPr>
              <w:pStyle w:val="26"/>
              <w:snapToGrid w:val="0"/>
              <w:jc w:val="center"/>
            </w:pPr>
            <w:r>
              <w:rPr>
                <w:rFonts w:hint="eastAsia" w:ascii="宋体" w:hAnsi="宋体"/>
                <w:sz w:val="22"/>
              </w:rPr>
              <w:t>实时响应叫货，收到甲方供货指令后</w:t>
            </w:r>
            <w:r>
              <w:rPr>
                <w:rFonts w:hint="eastAsia" w:ascii="宋体" w:hAnsi="宋体"/>
                <w:sz w:val="22"/>
                <w:u w:val="single"/>
              </w:rPr>
              <w:t xml:space="preserve">  </w:t>
            </w:r>
            <w:r>
              <w:rPr>
                <w:rFonts w:hint="eastAsia" w:ascii="宋体" w:hAnsi="宋体"/>
                <w:sz w:val="22"/>
              </w:rPr>
              <w:t>日历天内交货</w:t>
            </w:r>
          </w:p>
        </w:tc>
        <w:tc>
          <w:tcPr>
            <w:tcW w:w="1476" w:type="dxa"/>
            <w:vMerge w:val="restart"/>
            <w:vAlign w:val="center"/>
          </w:tcPr>
          <w:p>
            <w:pPr>
              <w:pStyle w:val="26"/>
              <w:snapToGrid w:val="0"/>
              <w:jc w:val="center"/>
              <w:rPr>
                <w:rFonts w:ascii="宋体" w:hAnsi="宋体"/>
                <w:bCs/>
                <w:sz w:val="22"/>
              </w:rPr>
            </w:pPr>
            <w:r>
              <w:rPr>
                <w:rFonts w:hint="eastAsia" w:ascii="宋体" w:hAnsi="宋体"/>
                <w:bCs/>
                <w:sz w:val="22"/>
              </w:rPr>
              <w:t>个</w:t>
            </w:r>
          </w:p>
          <w:p/>
          <w:p/>
          <w:p/>
          <w:p/>
          <w:p>
            <w:pPr>
              <w:pStyle w:val="26"/>
              <w:snapToGrid w:val="0"/>
              <w:jc w:val="center"/>
              <w:rPr>
                <w:rFonts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pStyle w:val="26"/>
              <w:snapToGrid w:val="0"/>
              <w:jc w:val="center"/>
              <w:rPr>
                <w:rFonts w:ascii="宋体" w:hAnsi="宋体"/>
                <w:bCs/>
                <w:sz w:val="22"/>
              </w:rPr>
            </w:pPr>
            <w:r>
              <w:rPr>
                <w:rFonts w:hint="eastAsia" w:ascii="宋体" w:hAnsi="宋体"/>
                <w:bCs/>
                <w:sz w:val="22"/>
              </w:rPr>
              <w:t>2</w:t>
            </w:r>
          </w:p>
        </w:tc>
        <w:tc>
          <w:tcPr>
            <w:tcW w:w="1402" w:type="dxa"/>
            <w:vMerge w:val="continue"/>
            <w:vAlign w:val="center"/>
          </w:tcPr>
          <w:p>
            <w:pPr>
              <w:widowControl/>
              <w:adjustRightInd w:val="0"/>
              <w:snapToGrid w:val="0"/>
              <w:spacing w:line="360" w:lineRule="exact"/>
              <w:jc w:val="center"/>
              <w:rPr>
                <w:rFonts w:ascii="宋体" w:hAnsi="宋体"/>
                <w:bCs/>
                <w:sz w:val="22"/>
              </w:rPr>
            </w:pPr>
          </w:p>
        </w:tc>
        <w:tc>
          <w:tcPr>
            <w:tcW w:w="1438" w:type="dxa"/>
            <w:shd w:val="clear" w:color="auto" w:fill="auto"/>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24</w:t>
            </w:r>
          </w:p>
        </w:tc>
        <w:tc>
          <w:tcPr>
            <w:tcW w:w="2280" w:type="dxa"/>
            <w:vMerge w:val="continue"/>
            <w:vAlign w:val="center"/>
          </w:tcPr>
          <w:p>
            <w:pPr>
              <w:pStyle w:val="26"/>
              <w:snapToGrid w:val="0"/>
              <w:jc w:val="center"/>
            </w:pPr>
          </w:p>
        </w:tc>
        <w:tc>
          <w:tcPr>
            <w:tcW w:w="1476" w:type="dxa"/>
            <w:vMerge w:val="continue"/>
            <w:vAlign w:val="center"/>
          </w:tcPr>
          <w:p>
            <w:pPr>
              <w:pStyle w:val="26"/>
              <w:snapToGrid w:val="0"/>
              <w:jc w:val="center"/>
              <w:rPr>
                <w:rFonts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pStyle w:val="26"/>
              <w:snapToGrid w:val="0"/>
              <w:jc w:val="center"/>
              <w:rPr>
                <w:rFonts w:ascii="宋体" w:hAnsi="宋体"/>
                <w:bCs/>
                <w:sz w:val="22"/>
              </w:rPr>
            </w:pPr>
            <w:r>
              <w:rPr>
                <w:rFonts w:hint="eastAsia" w:ascii="宋体" w:hAnsi="宋体"/>
                <w:bCs/>
                <w:sz w:val="22"/>
              </w:rPr>
              <w:t>3</w:t>
            </w:r>
          </w:p>
        </w:tc>
        <w:tc>
          <w:tcPr>
            <w:tcW w:w="1402" w:type="dxa"/>
            <w:vMerge w:val="continue"/>
            <w:vAlign w:val="center"/>
          </w:tcPr>
          <w:p>
            <w:pPr>
              <w:widowControl/>
              <w:adjustRightInd w:val="0"/>
              <w:snapToGrid w:val="0"/>
              <w:spacing w:line="360" w:lineRule="exact"/>
              <w:jc w:val="center"/>
              <w:rPr>
                <w:rFonts w:ascii="宋体" w:hAnsi="宋体"/>
                <w:bCs/>
                <w:sz w:val="22"/>
              </w:rPr>
            </w:pPr>
          </w:p>
        </w:tc>
        <w:tc>
          <w:tcPr>
            <w:tcW w:w="1438" w:type="dxa"/>
            <w:shd w:val="clear" w:color="auto" w:fill="auto"/>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20</w:t>
            </w:r>
          </w:p>
        </w:tc>
        <w:tc>
          <w:tcPr>
            <w:tcW w:w="2280" w:type="dxa"/>
            <w:vMerge w:val="continue"/>
            <w:vAlign w:val="center"/>
          </w:tcPr>
          <w:p>
            <w:pPr>
              <w:pStyle w:val="26"/>
              <w:snapToGrid w:val="0"/>
              <w:jc w:val="center"/>
            </w:pPr>
          </w:p>
        </w:tc>
        <w:tc>
          <w:tcPr>
            <w:tcW w:w="1476" w:type="dxa"/>
            <w:vMerge w:val="continue"/>
            <w:vAlign w:val="center"/>
          </w:tcPr>
          <w:p>
            <w:pPr>
              <w:pStyle w:val="26"/>
              <w:snapToGrid w:val="0"/>
              <w:jc w:val="center"/>
              <w:rPr>
                <w:rFonts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pStyle w:val="26"/>
              <w:snapToGrid w:val="0"/>
              <w:jc w:val="center"/>
              <w:rPr>
                <w:rFonts w:ascii="宋体" w:hAnsi="宋体"/>
                <w:bCs/>
                <w:sz w:val="22"/>
              </w:rPr>
            </w:pPr>
            <w:r>
              <w:rPr>
                <w:rFonts w:hint="eastAsia" w:ascii="宋体" w:hAnsi="宋体"/>
                <w:bCs/>
                <w:sz w:val="22"/>
              </w:rPr>
              <w:t>4</w:t>
            </w:r>
          </w:p>
        </w:tc>
        <w:tc>
          <w:tcPr>
            <w:tcW w:w="1402" w:type="dxa"/>
            <w:vMerge w:val="restart"/>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塑料硬壳万向轮拉杆箱</w:t>
            </w:r>
          </w:p>
        </w:tc>
        <w:tc>
          <w:tcPr>
            <w:tcW w:w="1438" w:type="dxa"/>
            <w:shd w:val="clear" w:color="auto" w:fill="auto"/>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28</w:t>
            </w:r>
          </w:p>
        </w:tc>
        <w:tc>
          <w:tcPr>
            <w:tcW w:w="2280" w:type="dxa"/>
            <w:vMerge w:val="continue"/>
            <w:vAlign w:val="center"/>
          </w:tcPr>
          <w:p>
            <w:pPr>
              <w:pStyle w:val="26"/>
              <w:snapToGrid w:val="0"/>
              <w:jc w:val="center"/>
            </w:pPr>
          </w:p>
        </w:tc>
        <w:tc>
          <w:tcPr>
            <w:tcW w:w="1476" w:type="dxa"/>
            <w:vMerge w:val="continue"/>
            <w:vAlign w:val="center"/>
          </w:tcPr>
          <w:p>
            <w:pPr>
              <w:pStyle w:val="26"/>
              <w:snapToGrid w:val="0"/>
              <w:jc w:val="center"/>
              <w:rPr>
                <w:rFonts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pStyle w:val="26"/>
              <w:snapToGrid w:val="0"/>
              <w:jc w:val="center"/>
              <w:rPr>
                <w:rFonts w:ascii="宋体" w:hAnsi="宋体"/>
                <w:bCs/>
                <w:sz w:val="22"/>
              </w:rPr>
            </w:pPr>
            <w:r>
              <w:rPr>
                <w:rFonts w:hint="eastAsia" w:ascii="宋体" w:hAnsi="宋体"/>
                <w:bCs/>
                <w:sz w:val="22"/>
              </w:rPr>
              <w:t>5</w:t>
            </w:r>
          </w:p>
        </w:tc>
        <w:tc>
          <w:tcPr>
            <w:tcW w:w="1402" w:type="dxa"/>
            <w:vMerge w:val="continue"/>
            <w:vAlign w:val="center"/>
          </w:tcPr>
          <w:p>
            <w:pPr>
              <w:widowControl/>
              <w:adjustRightInd w:val="0"/>
              <w:snapToGrid w:val="0"/>
              <w:spacing w:line="360" w:lineRule="exact"/>
              <w:jc w:val="center"/>
              <w:rPr>
                <w:rFonts w:ascii="宋体" w:hAnsi="宋体" w:cs="Arial"/>
                <w:kern w:val="0"/>
                <w:sz w:val="22"/>
              </w:rPr>
            </w:pPr>
          </w:p>
        </w:tc>
        <w:tc>
          <w:tcPr>
            <w:tcW w:w="1438" w:type="dxa"/>
            <w:shd w:val="clear" w:color="auto" w:fill="auto"/>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24</w:t>
            </w:r>
          </w:p>
        </w:tc>
        <w:tc>
          <w:tcPr>
            <w:tcW w:w="2280" w:type="dxa"/>
            <w:vMerge w:val="continue"/>
            <w:vAlign w:val="center"/>
          </w:tcPr>
          <w:p>
            <w:pPr>
              <w:pStyle w:val="26"/>
              <w:snapToGrid w:val="0"/>
              <w:jc w:val="center"/>
            </w:pPr>
          </w:p>
        </w:tc>
        <w:tc>
          <w:tcPr>
            <w:tcW w:w="1476" w:type="dxa"/>
            <w:vMerge w:val="continue"/>
            <w:vAlign w:val="center"/>
          </w:tcPr>
          <w:p>
            <w:pPr>
              <w:pStyle w:val="26"/>
              <w:snapToGrid w:val="0"/>
              <w:jc w:val="center"/>
              <w:rPr>
                <w:rFonts w:ascii="宋体" w:hAnsi="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pStyle w:val="26"/>
              <w:snapToGrid w:val="0"/>
              <w:jc w:val="center"/>
              <w:rPr>
                <w:rFonts w:ascii="宋体" w:hAnsi="宋体"/>
                <w:bCs/>
                <w:sz w:val="22"/>
              </w:rPr>
            </w:pPr>
            <w:r>
              <w:rPr>
                <w:rFonts w:hint="eastAsia" w:ascii="宋体" w:hAnsi="宋体"/>
                <w:bCs/>
                <w:sz w:val="22"/>
              </w:rPr>
              <w:t>6</w:t>
            </w:r>
          </w:p>
        </w:tc>
        <w:tc>
          <w:tcPr>
            <w:tcW w:w="1402" w:type="dxa"/>
            <w:vMerge w:val="continue"/>
            <w:vAlign w:val="center"/>
          </w:tcPr>
          <w:p>
            <w:pPr>
              <w:widowControl/>
              <w:adjustRightInd w:val="0"/>
              <w:snapToGrid w:val="0"/>
              <w:spacing w:line="360" w:lineRule="exact"/>
              <w:jc w:val="center"/>
              <w:rPr>
                <w:rFonts w:ascii="宋体" w:hAnsi="宋体" w:cs="Arial"/>
                <w:kern w:val="0"/>
                <w:sz w:val="22"/>
              </w:rPr>
            </w:pPr>
          </w:p>
        </w:tc>
        <w:tc>
          <w:tcPr>
            <w:tcW w:w="1438" w:type="dxa"/>
            <w:shd w:val="clear" w:color="auto" w:fill="auto"/>
            <w:vAlign w:val="center"/>
          </w:tcPr>
          <w:p>
            <w:pPr>
              <w:widowControl/>
              <w:adjustRightInd w:val="0"/>
              <w:snapToGrid w:val="0"/>
              <w:spacing w:line="360" w:lineRule="exact"/>
              <w:jc w:val="center"/>
              <w:rPr>
                <w:rFonts w:ascii="宋体" w:hAnsi="宋体"/>
                <w:bCs/>
                <w:sz w:val="22"/>
              </w:rPr>
            </w:pPr>
            <w:r>
              <w:rPr>
                <w:rFonts w:hint="eastAsia" w:ascii="宋体" w:hAnsi="宋体" w:cs="Arial"/>
                <w:kern w:val="0"/>
                <w:sz w:val="22"/>
              </w:rPr>
              <w:t>20</w:t>
            </w:r>
          </w:p>
        </w:tc>
        <w:tc>
          <w:tcPr>
            <w:tcW w:w="2280" w:type="dxa"/>
            <w:vMerge w:val="continue"/>
            <w:vAlign w:val="center"/>
          </w:tcPr>
          <w:p>
            <w:pPr>
              <w:pStyle w:val="26"/>
              <w:snapToGrid w:val="0"/>
              <w:jc w:val="center"/>
            </w:pPr>
          </w:p>
        </w:tc>
        <w:tc>
          <w:tcPr>
            <w:tcW w:w="1476" w:type="dxa"/>
            <w:vMerge w:val="continue"/>
            <w:vAlign w:val="center"/>
          </w:tcPr>
          <w:p>
            <w:pPr>
              <w:pStyle w:val="26"/>
              <w:snapToGrid w:val="0"/>
              <w:jc w:val="center"/>
              <w:rPr>
                <w:rFonts w:ascii="宋体" w:hAnsi="宋体"/>
                <w:bCs/>
                <w:sz w:val="22"/>
              </w:rPr>
            </w:pPr>
          </w:p>
        </w:tc>
      </w:tr>
    </w:tbl>
    <w:p>
      <w:pPr>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式样：</w:t>
      </w:r>
    </w:p>
    <w:p>
      <w:pPr>
        <w:adjustRightInd w:val="0"/>
        <w:snapToGrid w:val="0"/>
        <w:spacing w:line="360" w:lineRule="exact"/>
        <w:ind w:firstLine="440" w:firstLineChars="200"/>
        <w:rPr>
          <w:rFonts w:ascii="宋体" w:hAnsi="宋体" w:cs="Arial"/>
          <w:kern w:val="0"/>
          <w:sz w:val="22"/>
        </w:rPr>
      </w:pPr>
    </w:p>
    <w:p>
      <w:pPr>
        <w:adjustRightInd w:val="0"/>
        <w:snapToGrid w:val="0"/>
        <w:spacing w:line="360" w:lineRule="exact"/>
        <w:ind w:firstLine="440" w:firstLineChars="200"/>
        <w:rPr>
          <w:rFonts w:ascii="宋体" w:hAnsi="宋体" w:cs="Arial"/>
          <w:kern w:val="0"/>
          <w:sz w:val="22"/>
        </w:rPr>
      </w:pPr>
    </w:p>
    <w:p>
      <w:pPr>
        <w:adjustRightInd w:val="0"/>
        <w:snapToGrid w:val="0"/>
        <w:spacing w:line="360" w:lineRule="exact"/>
        <w:ind w:firstLine="440" w:firstLineChars="200"/>
        <w:rPr>
          <w:rFonts w:ascii="宋体" w:hAnsi="宋体" w:cs="Arial"/>
          <w:kern w:val="0"/>
          <w:sz w:val="22"/>
        </w:rPr>
      </w:pPr>
    </w:p>
    <w:p>
      <w:pPr>
        <w:adjustRightInd w:val="0"/>
        <w:snapToGrid w:val="0"/>
        <w:spacing w:line="360" w:lineRule="exact"/>
        <w:ind w:firstLine="442" w:firstLineChars="200"/>
        <w:outlineLvl w:val="0"/>
        <w:rPr>
          <w:rFonts w:ascii="宋体" w:hAnsi="宋体"/>
          <w:b/>
          <w:sz w:val="22"/>
        </w:rPr>
      </w:pPr>
      <w:bookmarkStart w:id="26" w:name="_Toc25961"/>
      <w:bookmarkStart w:id="27" w:name="_Toc240"/>
      <w:bookmarkStart w:id="28" w:name="_Toc31498"/>
      <w:bookmarkStart w:id="29" w:name="_Toc28495"/>
      <w:bookmarkStart w:id="30" w:name="_Toc9629"/>
      <w:bookmarkStart w:id="31" w:name="_Toc8880"/>
      <w:r>
        <w:rPr>
          <w:rFonts w:hint="eastAsia" w:ascii="宋体" w:hAnsi="宋体"/>
          <w:b/>
          <w:sz w:val="22"/>
        </w:rPr>
        <w:t>二、合同金额</w:t>
      </w:r>
      <w:bookmarkEnd w:id="26"/>
      <w:bookmarkEnd w:id="27"/>
      <w:bookmarkEnd w:id="28"/>
      <w:bookmarkEnd w:id="29"/>
      <w:bookmarkEnd w:id="30"/>
      <w:bookmarkEnd w:id="31"/>
    </w:p>
    <w:p>
      <w:pPr>
        <w:snapToGrid w:val="0"/>
        <w:spacing w:line="360" w:lineRule="exact"/>
        <w:ind w:firstLine="440" w:firstLineChars="200"/>
        <w:rPr>
          <w:rFonts w:ascii="宋体" w:hAnsi="宋体"/>
          <w:sz w:val="22"/>
        </w:rPr>
      </w:pPr>
      <w:r>
        <w:rPr>
          <w:rFonts w:hint="eastAsia" w:ascii="宋体" w:hAnsi="宋体"/>
          <w:sz w:val="22"/>
        </w:rPr>
        <w:t>乙方应在收到甲方询价通知后【5】日内予以报价，否则视为放弃。初定询价频率为每半年一次。乙方报价不得超过投标时的报价。</w:t>
      </w:r>
    </w:p>
    <w:p>
      <w:pPr>
        <w:adjustRightInd w:val="0"/>
        <w:snapToGrid w:val="0"/>
        <w:spacing w:line="360" w:lineRule="exact"/>
        <w:ind w:firstLine="440" w:firstLineChars="200"/>
        <w:rPr>
          <w:rFonts w:ascii="宋体" w:hAnsi="宋体"/>
          <w:sz w:val="22"/>
        </w:rPr>
      </w:pPr>
      <w:r>
        <w:rPr>
          <w:rFonts w:hint="eastAsia" w:ascii="宋体" w:hAnsi="宋体"/>
          <w:sz w:val="22"/>
        </w:rPr>
        <w:t>乙方应将本合同第一条中所涉及的货物根据本合同约定的时间及方式发至甲方，最终双方采购的价格为杭州萧山国际机场内交货价，含采购、分装、储存、运输、交付、质保、</w:t>
      </w:r>
      <w:r>
        <w:rPr>
          <w:rFonts w:hint="eastAsia" w:ascii="宋体" w:hAnsi="宋体"/>
          <w:sz w:val="22"/>
          <w:lang w:val="zh-CN"/>
        </w:rPr>
        <w:t>价格上涨风险</w:t>
      </w:r>
      <w:r>
        <w:rPr>
          <w:rFonts w:hint="eastAsia" w:ascii="宋体" w:hAnsi="宋体"/>
          <w:sz w:val="22"/>
        </w:rPr>
        <w:t>及增值税、保险费等全过程产生的所有成本和费用以及一切税费，甲方不再承担其他任何费用。</w:t>
      </w:r>
    </w:p>
    <w:p>
      <w:pPr>
        <w:adjustRightInd w:val="0"/>
        <w:snapToGrid w:val="0"/>
        <w:spacing w:line="360" w:lineRule="exact"/>
        <w:ind w:firstLine="440" w:firstLineChars="200"/>
        <w:rPr>
          <w:rFonts w:ascii="宋体" w:hAnsi="宋体"/>
          <w:sz w:val="22"/>
        </w:rPr>
      </w:pPr>
      <w:r>
        <w:rPr>
          <w:rFonts w:hint="eastAsia" w:ascii="宋体" w:hAnsi="宋体"/>
          <w:sz w:val="22"/>
        </w:rPr>
        <w:t>在本合同有效期限内，若因国家税收政策调整而引起的增值税税率变化的，应按照国家税收政策调整，价格变更为物品价格不含增值税价格与调整后税率计算税额的合计金额。</w:t>
      </w:r>
    </w:p>
    <w:p>
      <w:pPr>
        <w:widowControl/>
        <w:adjustRightInd w:val="0"/>
        <w:snapToGrid w:val="0"/>
        <w:spacing w:line="360" w:lineRule="exact"/>
        <w:ind w:firstLine="440" w:firstLineChars="200"/>
        <w:jc w:val="left"/>
        <w:rPr>
          <w:rFonts w:ascii="宋体" w:hAnsi="宋体"/>
          <w:sz w:val="22"/>
          <w:lang w:val="zh-CN"/>
        </w:rPr>
      </w:pPr>
      <w:r>
        <w:rPr>
          <w:rFonts w:hint="eastAsia" w:ascii="宋体" w:hAnsi="宋体"/>
          <w:sz w:val="22"/>
        </w:rPr>
        <w:t>甲方有权在进入本项目的供应商库中选择货物中</w:t>
      </w:r>
      <w:r>
        <w:rPr>
          <w:rFonts w:hint="eastAsia" w:ascii="宋体" w:hAnsi="宋体"/>
          <w:sz w:val="22"/>
          <w:lang w:val="zh-CN"/>
        </w:rPr>
        <w:t>价格低的物品，让选中的供应商进行配送。乙方对此不得提出任何异议，并承诺同意作为在本项目的供应商遵守本合同约定的规则。</w:t>
      </w:r>
    </w:p>
    <w:p>
      <w:pPr>
        <w:adjustRightInd w:val="0"/>
        <w:snapToGrid w:val="0"/>
        <w:spacing w:line="360" w:lineRule="exact"/>
        <w:ind w:firstLine="442" w:firstLineChars="200"/>
        <w:outlineLvl w:val="0"/>
        <w:rPr>
          <w:rFonts w:ascii="宋体" w:hAnsi="宋体"/>
          <w:b/>
          <w:sz w:val="22"/>
        </w:rPr>
      </w:pPr>
      <w:bookmarkStart w:id="32" w:name="_Toc13431"/>
      <w:bookmarkStart w:id="33" w:name="_Toc15105"/>
      <w:bookmarkStart w:id="34" w:name="_Toc20205"/>
      <w:bookmarkStart w:id="35" w:name="_Toc5481"/>
      <w:bookmarkStart w:id="36" w:name="_Toc13339"/>
      <w:bookmarkStart w:id="37" w:name="_Toc5054"/>
      <w:r>
        <w:rPr>
          <w:rFonts w:hint="eastAsia" w:ascii="宋体" w:hAnsi="宋体"/>
          <w:b/>
          <w:sz w:val="22"/>
        </w:rPr>
        <w:t>三、技术资料</w:t>
      </w:r>
      <w:bookmarkEnd w:id="32"/>
      <w:bookmarkEnd w:id="33"/>
      <w:bookmarkEnd w:id="34"/>
      <w:bookmarkEnd w:id="35"/>
      <w:bookmarkEnd w:id="36"/>
      <w:bookmarkEnd w:id="37"/>
    </w:p>
    <w:p>
      <w:pPr>
        <w:adjustRightInd w:val="0"/>
        <w:snapToGrid w:val="0"/>
        <w:spacing w:line="360" w:lineRule="exact"/>
        <w:ind w:firstLine="440" w:firstLineChars="200"/>
        <w:rPr>
          <w:rFonts w:ascii="宋体" w:hAnsi="宋体"/>
          <w:sz w:val="22"/>
        </w:rPr>
      </w:pPr>
      <w:r>
        <w:rPr>
          <w:rFonts w:hint="eastAsia" w:ascii="宋体" w:hAnsi="宋体"/>
          <w:sz w:val="22"/>
        </w:rPr>
        <w:t>没有甲方事先书面同意，乙方不得将由甲方提供的有关合同或任何合同条文、规格、计划、图纸、样品照片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outlineLvl w:val="0"/>
        <w:rPr>
          <w:rFonts w:ascii="宋体" w:hAnsi="宋体"/>
          <w:b/>
          <w:sz w:val="22"/>
        </w:rPr>
      </w:pPr>
      <w:bookmarkStart w:id="38" w:name="_Toc15034"/>
      <w:bookmarkStart w:id="39" w:name="_Toc10622"/>
      <w:bookmarkStart w:id="40" w:name="_Toc4917"/>
      <w:bookmarkStart w:id="41" w:name="_Toc32270"/>
      <w:bookmarkStart w:id="42" w:name="_Toc20862"/>
      <w:bookmarkStart w:id="43" w:name="_Toc16553"/>
      <w:r>
        <w:rPr>
          <w:rFonts w:hint="eastAsia" w:ascii="宋体" w:hAnsi="宋体"/>
          <w:b/>
          <w:sz w:val="22"/>
        </w:rPr>
        <w:t>四、知识产权</w:t>
      </w:r>
      <w:bookmarkEnd w:id="38"/>
      <w:bookmarkEnd w:id="39"/>
      <w:bookmarkEnd w:id="40"/>
      <w:bookmarkEnd w:id="41"/>
      <w:bookmarkEnd w:id="42"/>
      <w:bookmarkEnd w:id="43"/>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outlineLvl w:val="0"/>
        <w:rPr>
          <w:rFonts w:ascii="宋体" w:hAnsi="宋体"/>
          <w:b/>
          <w:sz w:val="22"/>
        </w:rPr>
      </w:pPr>
      <w:bookmarkStart w:id="44" w:name="_Toc2330"/>
      <w:bookmarkStart w:id="45" w:name="_Toc9162"/>
      <w:bookmarkStart w:id="46" w:name="_Toc9983"/>
      <w:bookmarkStart w:id="47" w:name="_Toc8429"/>
      <w:bookmarkStart w:id="48" w:name="_Toc2183"/>
      <w:bookmarkStart w:id="49" w:name="_Toc5658"/>
      <w:r>
        <w:rPr>
          <w:rFonts w:hint="eastAsia" w:ascii="宋体" w:hAnsi="宋体"/>
          <w:b/>
          <w:sz w:val="22"/>
        </w:rPr>
        <w:t>五、产权担保</w:t>
      </w:r>
      <w:bookmarkEnd w:id="44"/>
      <w:bookmarkEnd w:id="45"/>
      <w:bookmarkEnd w:id="46"/>
      <w:bookmarkEnd w:id="47"/>
      <w:bookmarkEnd w:id="48"/>
      <w:bookmarkEnd w:id="49"/>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50" w:name="_Toc26220"/>
      <w:bookmarkStart w:id="51" w:name="_Toc27144"/>
      <w:bookmarkStart w:id="52" w:name="_Toc23250"/>
      <w:bookmarkStart w:id="53" w:name="_Toc19889"/>
      <w:bookmarkStart w:id="54" w:name="_Toc21531"/>
      <w:bookmarkStart w:id="55" w:name="_Toc12509"/>
      <w:bookmarkStart w:id="56" w:name="_Toc422638512"/>
      <w:r>
        <w:rPr>
          <w:rFonts w:hint="eastAsia" w:ascii="宋体" w:hAnsi="宋体"/>
          <w:b/>
          <w:sz w:val="22"/>
        </w:rPr>
        <w:t>六、转包或分包</w:t>
      </w:r>
      <w:bookmarkEnd w:id="50"/>
      <w:bookmarkEnd w:id="51"/>
      <w:bookmarkEnd w:id="52"/>
      <w:bookmarkEnd w:id="53"/>
      <w:bookmarkEnd w:id="54"/>
      <w:bookmarkEnd w:id="55"/>
      <w:bookmarkEnd w:id="5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57" w:name="_Toc422638513"/>
      <w:bookmarkStart w:id="58" w:name="_Toc24884"/>
      <w:bookmarkStart w:id="59" w:name="_Toc1140"/>
      <w:bookmarkStart w:id="60" w:name="_Toc22345"/>
      <w:bookmarkStart w:id="61" w:name="_Toc5317"/>
      <w:bookmarkStart w:id="62" w:name="_Toc2033"/>
      <w:bookmarkStart w:id="63" w:name="_Toc17331"/>
      <w:r>
        <w:rPr>
          <w:rFonts w:hint="eastAsia" w:ascii="宋体" w:hAnsi="宋体"/>
          <w:b/>
          <w:sz w:val="22"/>
        </w:rPr>
        <w:t>七、</w:t>
      </w:r>
      <w:bookmarkEnd w:id="57"/>
      <w:r>
        <w:rPr>
          <w:rFonts w:hint="eastAsia" w:ascii="宋体" w:hAnsi="宋体"/>
          <w:b/>
          <w:sz w:val="22"/>
        </w:rPr>
        <w:t>材料采购、制造生产、储存、运输、交付等</w:t>
      </w:r>
      <w:bookmarkEnd w:id="58"/>
      <w:bookmarkEnd w:id="59"/>
      <w:bookmarkEnd w:id="60"/>
      <w:bookmarkEnd w:id="61"/>
      <w:bookmarkEnd w:id="62"/>
      <w:bookmarkEnd w:id="6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乙方在材料</w:t>
      </w:r>
      <w:r>
        <w:rPr>
          <w:rFonts w:hint="eastAsia" w:ascii="宋体" w:hAnsi="宋体" w:cs="宋体"/>
          <w:sz w:val="22"/>
        </w:rPr>
        <w:t>采购、制造生产、储存、运输、交付、</w:t>
      </w:r>
      <w:r>
        <w:rPr>
          <w:rFonts w:ascii="宋体" w:hAnsi="宋体" w:cs="宋体"/>
          <w:sz w:val="22"/>
        </w:rPr>
        <w:t>质保</w:t>
      </w:r>
      <w:r>
        <w:rPr>
          <w:rFonts w:hint="eastAsia" w:ascii="宋体" w:hAnsi="宋体"/>
          <w:sz w:val="22"/>
        </w:rPr>
        <w:t>等过程中，符合国家有关标准并保证质量。</w:t>
      </w:r>
    </w:p>
    <w:p>
      <w:pPr>
        <w:adjustRightInd w:val="0"/>
        <w:snapToGrid w:val="0"/>
        <w:spacing w:line="360" w:lineRule="exact"/>
        <w:ind w:firstLine="442" w:firstLineChars="200"/>
        <w:rPr>
          <w:rFonts w:ascii="宋体" w:hAnsi="宋体"/>
          <w:sz w:val="22"/>
        </w:rPr>
      </w:pPr>
      <w:r>
        <w:rPr>
          <w:rFonts w:ascii="宋体" w:hAnsi="宋体"/>
          <w:b/>
          <w:sz w:val="22"/>
        </w:rPr>
        <w:t>2.</w:t>
      </w:r>
      <w:r>
        <w:rPr>
          <w:rFonts w:hint="eastAsia" w:ascii="宋体" w:hAnsi="宋体"/>
          <w:sz w:val="22"/>
        </w:rPr>
        <w:t>乙方需实时响应甲方的订货需求，并在本协议第八条规定的交货时间内送达甲方指定地点。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乙方在交付至甲方地点前30分钟内必须告知甲方，以便甲方准备接货。</w:t>
      </w:r>
    </w:p>
    <w:p>
      <w:pPr>
        <w:adjustRightInd w:val="0"/>
        <w:snapToGrid w:val="0"/>
        <w:spacing w:line="360" w:lineRule="exact"/>
        <w:ind w:firstLine="450"/>
        <w:rPr>
          <w:rFonts w:ascii="宋体" w:hAnsi="宋体"/>
          <w:sz w:val="22"/>
        </w:rPr>
      </w:pPr>
      <w:r>
        <w:rPr>
          <w:rFonts w:hint="eastAsia" w:ascii="宋体" w:hAnsi="宋体"/>
          <w:b/>
          <w:sz w:val="22"/>
        </w:rPr>
        <w:t>4.</w:t>
      </w:r>
      <w:r>
        <w:rPr>
          <w:rFonts w:hint="eastAsia" w:ascii="宋体" w:hAnsi="宋体"/>
          <w:sz w:val="22"/>
        </w:rPr>
        <w:t>产品运输费用及责任由乙方负责，在本合同规定的交货地点交付甲方前出现任何事故，导致产品受损或甲方受损，均由乙方负责。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ascii="宋体" w:hAnsi="宋体"/>
          <w:b/>
          <w:sz w:val="22"/>
        </w:rPr>
        <w:t>.</w:t>
      </w:r>
      <w:r>
        <w:rPr>
          <w:rFonts w:hint="eastAsia" w:ascii="宋体" w:hAnsi="宋体"/>
          <w:bCs/>
          <w:sz w:val="22"/>
        </w:rPr>
        <w:t>货物在规定的交付期限内由乙方送达甲方指定的交货地点并经甲方签收后视为交付，乙方同时必须在货物到达的当天立即通知甲方货物已送达。签收单作为双方的结算凭证</w:t>
      </w:r>
      <w:r>
        <w:rPr>
          <w:rFonts w:hint="eastAsia" w:ascii="宋体" w:hAnsi="宋体"/>
          <w:sz w:val="22"/>
        </w:rPr>
        <w:t>。</w:t>
      </w:r>
    </w:p>
    <w:p>
      <w:pPr>
        <w:adjustRightInd w:val="0"/>
        <w:snapToGrid w:val="0"/>
        <w:spacing w:line="360" w:lineRule="exact"/>
        <w:ind w:firstLine="442" w:firstLineChars="200"/>
        <w:outlineLvl w:val="0"/>
        <w:rPr>
          <w:rFonts w:ascii="宋体" w:hAnsi="宋体"/>
          <w:b/>
          <w:sz w:val="22"/>
        </w:rPr>
      </w:pPr>
      <w:bookmarkStart w:id="64" w:name="_Toc422638514"/>
      <w:bookmarkStart w:id="65" w:name="_Toc28994"/>
      <w:bookmarkStart w:id="66" w:name="_Toc27255"/>
      <w:bookmarkStart w:id="67" w:name="_Toc14624"/>
      <w:bookmarkStart w:id="68" w:name="_Toc23941"/>
      <w:bookmarkStart w:id="69" w:name="_Toc5032"/>
      <w:bookmarkStart w:id="70" w:name="_Toc648"/>
      <w:r>
        <w:rPr>
          <w:rFonts w:hint="eastAsia" w:ascii="宋体" w:hAnsi="宋体"/>
          <w:b/>
          <w:sz w:val="22"/>
        </w:rPr>
        <w:t>八、服务期、交货时间、交货方式及交货地点</w:t>
      </w:r>
      <w:bookmarkEnd w:id="64"/>
      <w:bookmarkEnd w:id="65"/>
      <w:r>
        <w:rPr>
          <w:rFonts w:hint="eastAsia" w:ascii="宋体" w:hAnsi="宋体"/>
          <w:b/>
          <w:sz w:val="22"/>
        </w:rPr>
        <w:t>等</w:t>
      </w:r>
      <w:bookmarkEnd w:id="66"/>
      <w:bookmarkEnd w:id="67"/>
      <w:bookmarkEnd w:id="68"/>
      <w:bookmarkEnd w:id="69"/>
      <w:bookmarkEnd w:id="7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服务期：2020年1月1日至2022年12月31日；</w:t>
      </w:r>
    </w:p>
    <w:p>
      <w:pPr>
        <w:adjustRightInd w:val="0"/>
        <w:snapToGrid w:val="0"/>
        <w:spacing w:line="360" w:lineRule="exact"/>
        <w:ind w:firstLine="442" w:firstLineChars="200"/>
        <w:rPr>
          <w:rFonts w:ascii="宋体" w:hAnsi="宋体"/>
          <w:b/>
          <w:sz w:val="22"/>
        </w:rPr>
      </w:pPr>
      <w:r>
        <w:rPr>
          <w:rFonts w:ascii="宋体" w:hAnsi="宋体"/>
          <w:b/>
          <w:sz w:val="22"/>
        </w:rPr>
        <w:t xml:space="preserve">2. </w:t>
      </w:r>
      <w:r>
        <w:rPr>
          <w:rFonts w:hint="eastAsia" w:ascii="宋体" w:hAnsi="宋体"/>
          <w:sz w:val="22"/>
        </w:rPr>
        <w:t>交货时间：在收到甲方供货指令后</w:t>
      </w:r>
      <w:r>
        <w:rPr>
          <w:rFonts w:hint="eastAsia" w:ascii="宋体" w:hAnsi="宋体"/>
          <w:sz w:val="22"/>
          <w:u w:val="single"/>
        </w:rPr>
        <w:t xml:space="preserve">     日历日</w:t>
      </w:r>
      <w:r>
        <w:rPr>
          <w:rFonts w:hint="eastAsia" w:ascii="宋体" w:hAnsi="宋体"/>
          <w:sz w:val="22"/>
        </w:rPr>
        <w:t>内供货；</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交货方式：乙方送货上门并负责安置，并接受甲方现场管理；</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交货地点：杭州萧山国际机场内甲方指定地点；</w:t>
      </w:r>
    </w:p>
    <w:p>
      <w:pPr>
        <w:adjustRightInd w:val="0"/>
        <w:snapToGrid w:val="0"/>
        <w:spacing w:line="360" w:lineRule="exact"/>
        <w:ind w:firstLine="442" w:firstLineChars="200"/>
        <w:rPr>
          <w:rFonts w:ascii="宋体" w:hAnsi="宋体"/>
          <w:b/>
          <w:bCs/>
          <w:sz w:val="22"/>
        </w:rPr>
      </w:pPr>
      <w:r>
        <w:rPr>
          <w:rFonts w:hint="eastAsia" w:ascii="宋体" w:hAnsi="宋体"/>
          <w:b/>
          <w:bCs/>
          <w:sz w:val="22"/>
        </w:rPr>
        <w:t>5.</w:t>
      </w:r>
      <w:r>
        <w:rPr>
          <w:rFonts w:hint="eastAsia" w:ascii="宋体" w:hAnsi="宋体"/>
          <w:sz w:val="22"/>
        </w:rPr>
        <w:t xml:space="preserve"> 乙方联系人：，联系方式：。</w:t>
      </w:r>
    </w:p>
    <w:p>
      <w:pPr>
        <w:adjustRightInd w:val="0"/>
        <w:snapToGrid w:val="0"/>
        <w:spacing w:line="360" w:lineRule="exact"/>
        <w:ind w:firstLine="442" w:firstLineChars="200"/>
        <w:outlineLvl w:val="0"/>
        <w:rPr>
          <w:rFonts w:ascii="宋体" w:hAnsi="宋体"/>
          <w:b/>
          <w:sz w:val="22"/>
        </w:rPr>
      </w:pPr>
      <w:bookmarkStart w:id="71" w:name="_Toc422638515"/>
      <w:bookmarkStart w:id="72" w:name="_Toc26121"/>
      <w:bookmarkStart w:id="73" w:name="_Toc27991"/>
      <w:bookmarkStart w:id="74" w:name="_Toc17939"/>
      <w:bookmarkStart w:id="75" w:name="_Toc2717"/>
      <w:bookmarkStart w:id="76" w:name="_Toc3367"/>
      <w:bookmarkStart w:id="77" w:name="_Toc1784"/>
      <w:r>
        <w:rPr>
          <w:rFonts w:hint="eastAsia" w:ascii="宋体" w:hAnsi="宋体"/>
          <w:b/>
          <w:sz w:val="22"/>
        </w:rPr>
        <w:t>九、</w:t>
      </w:r>
      <w:bookmarkEnd w:id="71"/>
      <w:r>
        <w:rPr>
          <w:rFonts w:hint="eastAsia" w:ascii="宋体" w:hAnsi="宋体"/>
          <w:b/>
          <w:sz w:val="22"/>
        </w:rPr>
        <w:t>质检、质保及回访</w:t>
      </w:r>
      <w:bookmarkEnd w:id="72"/>
      <w:bookmarkEnd w:id="73"/>
      <w:bookmarkEnd w:id="74"/>
      <w:bookmarkEnd w:id="75"/>
      <w:bookmarkEnd w:id="76"/>
      <w:bookmarkEnd w:id="77"/>
    </w:p>
    <w:p>
      <w:pPr>
        <w:adjustRightInd w:val="0"/>
        <w:snapToGrid w:val="0"/>
        <w:spacing w:line="360" w:lineRule="exact"/>
        <w:ind w:firstLine="440"/>
        <w:rPr>
          <w:rFonts w:ascii="宋体" w:hAnsi="宋体"/>
          <w:sz w:val="22"/>
        </w:rPr>
      </w:pPr>
      <w:r>
        <w:rPr>
          <w:rFonts w:hint="eastAsia" w:ascii="宋体" w:hAnsi="宋体"/>
          <w:b/>
          <w:sz w:val="22"/>
        </w:rPr>
        <w:t>1.</w:t>
      </w:r>
      <w:r>
        <w:rPr>
          <w:rFonts w:hint="eastAsia" w:ascii="宋体" w:hAnsi="宋体"/>
          <w:sz w:val="22"/>
        </w:rPr>
        <w:t>若收到货后发现货物品种、型号、规格、数量或质量不符合合同约定或相关质量要求的，甲方有权拒收、拒付并以书面或电话形式向乙方提出异议；乙方应当在收到甲方异议之日起【24】小时内作出答复，乙方在【24】小时内未向甲方作出答复，乙方直接按甲方要求进行无偿换货、补发短缺部分，并承担由此产生的相关费用。在上述异议期及产品质量问题的处理期间，甲方有权中止本合同项下的付款义务，如处置不及时或无正当理由拒绝退换货的，甲方有权视情没收乙方履约保证金，并解除本合同。若该批货物货款已付，但存在乙方原因产生的质量问题影响使用，乙方应负责对该批次货物予以无条件退货或换货，甲方有权从下一批货款中扣除，如处置不及时或无正当理由拒绝退换货的，甲方有权视情扣除乙方履约保证金并解除本合同。</w:t>
      </w:r>
    </w:p>
    <w:p>
      <w:pPr>
        <w:adjustRightInd w:val="0"/>
        <w:snapToGrid w:val="0"/>
        <w:spacing w:line="360" w:lineRule="exact"/>
        <w:ind w:firstLine="440"/>
        <w:rPr>
          <w:rFonts w:ascii="宋体" w:hAnsi="宋体"/>
          <w:sz w:val="22"/>
        </w:rPr>
      </w:pPr>
      <w:r>
        <w:rPr>
          <w:rFonts w:hint="eastAsia" w:ascii="宋体" w:hAnsi="宋体"/>
          <w:b/>
          <w:sz w:val="22"/>
        </w:rPr>
        <w:t>2.</w:t>
      </w:r>
      <w:r>
        <w:rPr>
          <w:rFonts w:hint="eastAsia" w:ascii="宋体" w:hAnsi="宋体"/>
          <w:sz w:val="22"/>
        </w:rPr>
        <w:t>乙方应负责在退货同时，配合甲方财务要求开具相应的红字发票进行账务处理。</w:t>
      </w:r>
    </w:p>
    <w:p>
      <w:pPr>
        <w:adjustRightInd w:val="0"/>
        <w:snapToGrid w:val="0"/>
        <w:spacing w:line="360" w:lineRule="exact"/>
        <w:ind w:firstLine="440"/>
        <w:rPr>
          <w:rFonts w:ascii="宋体" w:hAnsi="宋体"/>
          <w:b/>
          <w:sz w:val="22"/>
        </w:rPr>
      </w:pPr>
      <w:r>
        <w:rPr>
          <w:rFonts w:hint="eastAsia" w:ascii="宋体" w:hAnsi="宋体"/>
          <w:b/>
          <w:sz w:val="22"/>
        </w:rPr>
        <w:t>3.</w:t>
      </w:r>
      <w:r>
        <w:rPr>
          <w:rFonts w:hint="eastAsia" w:ascii="宋体" w:hAnsi="宋体"/>
          <w:sz w:val="22"/>
        </w:rPr>
        <w:t>乙方应确保行李箱符合国家标准及安全，且与乙方提供的投标样品一致。</w:t>
      </w:r>
    </w:p>
    <w:p>
      <w:pPr>
        <w:adjustRightInd w:val="0"/>
        <w:snapToGrid w:val="0"/>
        <w:spacing w:line="360" w:lineRule="exact"/>
        <w:ind w:firstLine="442" w:firstLineChars="200"/>
        <w:rPr>
          <w:rFonts w:ascii="宋体" w:hAnsi="宋体"/>
          <w:sz w:val="22"/>
        </w:rPr>
      </w:pPr>
      <w:r>
        <w:rPr>
          <w:rFonts w:hint="eastAsia" w:ascii="宋体" w:hAnsi="宋体"/>
          <w:b/>
          <w:bCs/>
          <w:sz w:val="22"/>
        </w:rPr>
        <w:t>4.</w:t>
      </w:r>
      <w:r>
        <w:rPr>
          <w:rFonts w:hint="eastAsia" w:ascii="宋体" w:hAnsi="宋体"/>
          <w:sz w:val="22"/>
        </w:rPr>
        <w:t>甲方有权随时监督检查乙方提供的箱包质量或指令第三方检查机构进行检查，检查费用由乙方支付，乙方应予以配合。</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行李箱免费质保期为一年，自双方对货物验收合格之日起开始计算质保期，如因乙方原因产生的质量问题，乙方负责包退包换，同时质量保修期重新进行计算。</w:t>
      </w:r>
    </w:p>
    <w:p>
      <w:pPr>
        <w:adjustRightInd w:val="0"/>
        <w:snapToGrid w:val="0"/>
        <w:spacing w:line="360" w:lineRule="exact"/>
        <w:ind w:firstLine="442" w:firstLineChars="200"/>
        <w:rPr>
          <w:rFonts w:ascii="宋体" w:hAnsi="宋体"/>
          <w:b/>
          <w:sz w:val="22"/>
        </w:rPr>
      </w:pPr>
      <w:r>
        <w:rPr>
          <w:rFonts w:hint="eastAsia" w:ascii="宋体" w:hAnsi="宋体"/>
          <w:b/>
          <w:sz w:val="22"/>
        </w:rPr>
        <w:t>十、履约保证金</w:t>
      </w:r>
    </w:p>
    <w:p>
      <w:pPr>
        <w:adjustRightInd w:val="0"/>
        <w:snapToGrid w:val="0"/>
        <w:spacing w:line="360" w:lineRule="exact"/>
        <w:ind w:firstLine="440" w:firstLineChars="200"/>
        <w:rPr>
          <w:rFonts w:ascii="宋体" w:hAnsi="宋体"/>
          <w:sz w:val="22"/>
        </w:rPr>
      </w:pPr>
      <w:r>
        <w:rPr>
          <w:rFonts w:hint="eastAsia" w:ascii="宋体" w:hAnsi="宋体"/>
          <w:sz w:val="22"/>
        </w:rPr>
        <w:t>乙方应在收到中标通知书之日起【15】日内，向甲方支付大写人民币伍万元整，小写：</w:t>
      </w:r>
      <w:r>
        <w:rPr>
          <w:rFonts w:ascii="Arial" w:hAnsi="Arial" w:cs="Arial"/>
          <w:sz w:val="22"/>
        </w:rPr>
        <w:t>¥</w:t>
      </w:r>
      <w:r>
        <w:rPr>
          <w:rFonts w:hint="eastAsia" w:ascii="Arial" w:hAnsi="Arial" w:cs="Arial"/>
          <w:sz w:val="22"/>
        </w:rPr>
        <w:t>50000.00元</w:t>
      </w:r>
      <w:r>
        <w:rPr>
          <w:rFonts w:hint="eastAsia" w:ascii="宋体" w:hAnsi="宋体"/>
          <w:sz w:val="22"/>
        </w:rPr>
        <w:t>作为履约保证金（银行转账）。如果逾期未缴纳，视为乙方违约，甲方有权解除合同，并有权追究乙方的违约责任。</w:t>
      </w:r>
    </w:p>
    <w:p>
      <w:pPr>
        <w:adjustRightInd w:val="0"/>
        <w:snapToGrid w:val="0"/>
        <w:spacing w:line="360" w:lineRule="exact"/>
        <w:ind w:firstLine="440" w:firstLineChars="200"/>
        <w:rPr>
          <w:rFonts w:ascii="宋体" w:hAnsi="宋体"/>
          <w:sz w:val="22"/>
        </w:rPr>
      </w:pPr>
      <w:r>
        <w:rPr>
          <w:rFonts w:hint="eastAsia" w:ascii="宋体" w:hAnsi="宋体"/>
          <w:sz w:val="22"/>
        </w:rPr>
        <w:t>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本合同约定服务内容全部履行并取得甲方认可，乙方不存在任何违约情形后，甲方在10日内无息返还履约保证金。</w:t>
      </w:r>
    </w:p>
    <w:p>
      <w:pPr>
        <w:adjustRightInd w:val="0"/>
        <w:snapToGrid w:val="0"/>
        <w:spacing w:line="360" w:lineRule="exact"/>
        <w:ind w:firstLine="442" w:firstLineChars="200"/>
        <w:outlineLvl w:val="0"/>
        <w:rPr>
          <w:rFonts w:ascii="宋体" w:hAnsi="宋体"/>
          <w:b/>
          <w:sz w:val="22"/>
        </w:rPr>
      </w:pPr>
      <w:bookmarkStart w:id="78" w:name="_Toc28433"/>
      <w:bookmarkStart w:id="79" w:name="_Toc24753"/>
      <w:bookmarkStart w:id="80" w:name="_Toc12641"/>
      <w:bookmarkStart w:id="81" w:name="_Toc9879"/>
      <w:r>
        <w:rPr>
          <w:rFonts w:hint="eastAsia" w:ascii="宋体" w:hAnsi="宋体"/>
          <w:b/>
          <w:sz w:val="22"/>
        </w:rPr>
        <w:t>十一、货款支付</w:t>
      </w:r>
      <w:bookmarkEnd w:id="78"/>
      <w:bookmarkEnd w:id="79"/>
      <w:bookmarkEnd w:id="80"/>
      <w:bookmarkEnd w:id="81"/>
    </w:p>
    <w:p>
      <w:pPr>
        <w:pStyle w:val="12"/>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.以双方签字的签收单为凭证，并经双方财务核查无误后，按批次结算支付实际货款。</w:t>
      </w:r>
    </w:p>
    <w:p>
      <w:pPr>
        <w:pStyle w:val="12"/>
        <w:snapToGrid w:val="0"/>
        <w:spacing w:before="0" w:beforeAutospacing="0" w:after="0" w:afterAutospacing="0" w:line="3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乙方账户信息：</w:t>
      </w:r>
    </w:p>
    <w:p>
      <w:pPr>
        <w:pStyle w:val="12"/>
        <w:snapToGrid w:val="0"/>
        <w:spacing w:before="0" w:beforeAutospacing="0" w:after="0" w:afterAutospacing="0" w:line="3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开户行：</w:t>
      </w:r>
    </w:p>
    <w:p>
      <w:pPr>
        <w:pStyle w:val="12"/>
        <w:snapToGrid w:val="0"/>
        <w:spacing w:before="0" w:beforeAutospacing="0" w:after="0" w:afterAutospacing="0" w:line="3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账号：</w:t>
      </w:r>
    </w:p>
    <w:p>
      <w:pPr>
        <w:pStyle w:val="12"/>
        <w:snapToGrid w:val="0"/>
        <w:spacing w:before="0" w:beforeAutospacing="0" w:after="0" w:afterAutospacing="0" w:line="3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联系人：</w:t>
      </w:r>
    </w:p>
    <w:p>
      <w:pPr>
        <w:pStyle w:val="12"/>
        <w:snapToGrid w:val="0"/>
        <w:spacing w:before="0" w:beforeAutospacing="0" w:after="0" w:afterAutospacing="0" w:line="3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联系电话：</w:t>
      </w:r>
    </w:p>
    <w:p>
      <w:pPr>
        <w:pStyle w:val="12"/>
        <w:numPr>
          <w:ilvl w:val="255"/>
          <w:numId w:val="0"/>
        </w:numPr>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bCs/>
          <w:color w:val="auto"/>
          <w:sz w:val="22"/>
          <w:szCs w:val="22"/>
        </w:rPr>
        <w:t>2.</w:t>
      </w:r>
      <w:r>
        <w:rPr>
          <w:rFonts w:hint="eastAsia" w:ascii="宋体" w:hAnsi="宋体" w:eastAsia="宋体"/>
          <w:color w:val="auto"/>
          <w:sz w:val="22"/>
          <w:szCs w:val="22"/>
        </w:rPr>
        <w:t>乙方在每次清款时应开具应收款等额的增值税专用发票。</w:t>
      </w:r>
    </w:p>
    <w:p>
      <w:pPr>
        <w:pStyle w:val="12"/>
        <w:numPr>
          <w:ilvl w:val="255"/>
          <w:numId w:val="0"/>
        </w:numPr>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bCs/>
          <w:color w:val="auto"/>
          <w:sz w:val="22"/>
          <w:szCs w:val="22"/>
        </w:rPr>
        <w:t>3.</w:t>
      </w:r>
      <w:r>
        <w:rPr>
          <w:rFonts w:hint="eastAsia" w:ascii="宋体" w:hAnsi="宋体" w:eastAsia="宋体"/>
          <w:color w:val="auto"/>
          <w:sz w:val="22"/>
          <w:szCs w:val="22"/>
        </w:rPr>
        <w:t>甲方在收到正式发票后30日内，支付当批次货款。</w:t>
      </w:r>
    </w:p>
    <w:p>
      <w:pPr>
        <w:adjustRightInd w:val="0"/>
        <w:snapToGrid w:val="0"/>
        <w:spacing w:line="360" w:lineRule="exact"/>
        <w:ind w:firstLine="442" w:firstLineChars="200"/>
        <w:outlineLvl w:val="0"/>
        <w:rPr>
          <w:rFonts w:ascii="宋体" w:hAnsi="宋体"/>
          <w:b/>
          <w:sz w:val="22"/>
        </w:rPr>
      </w:pPr>
      <w:bookmarkStart w:id="82" w:name="_Toc12212"/>
      <w:bookmarkStart w:id="83" w:name="_Toc9244"/>
      <w:bookmarkStart w:id="84" w:name="_Toc12743"/>
      <w:bookmarkStart w:id="85" w:name="_Toc16500"/>
      <w:bookmarkStart w:id="86" w:name="_Toc14038"/>
      <w:bookmarkStart w:id="87" w:name="_Toc6559"/>
      <w:bookmarkStart w:id="88" w:name="_Toc422638517"/>
      <w:r>
        <w:rPr>
          <w:rFonts w:hint="eastAsia" w:ascii="宋体" w:hAnsi="宋体"/>
          <w:b/>
          <w:sz w:val="22"/>
        </w:rPr>
        <w:t>十二、税费</w:t>
      </w:r>
      <w:bookmarkEnd w:id="82"/>
      <w:bookmarkEnd w:id="83"/>
      <w:bookmarkEnd w:id="84"/>
      <w:bookmarkEnd w:id="85"/>
      <w:bookmarkEnd w:id="86"/>
      <w:bookmarkEnd w:id="87"/>
      <w:bookmarkEnd w:id="88"/>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89" w:name="_Toc18917"/>
      <w:bookmarkStart w:id="90" w:name="_Toc2013"/>
      <w:bookmarkStart w:id="91" w:name="_Toc4232"/>
      <w:bookmarkStart w:id="92" w:name="_Toc422638519"/>
      <w:bookmarkStart w:id="93" w:name="_Toc21840"/>
      <w:bookmarkStart w:id="94" w:name="_Toc9416"/>
      <w:bookmarkStart w:id="95" w:name="_Toc22595"/>
      <w:r>
        <w:rPr>
          <w:rFonts w:hint="eastAsia" w:ascii="宋体" w:hAnsi="宋体"/>
          <w:b/>
          <w:sz w:val="22"/>
        </w:rPr>
        <w:t>十三、违约责任</w:t>
      </w:r>
      <w:bookmarkEnd w:id="89"/>
      <w:bookmarkEnd w:id="90"/>
      <w:bookmarkEnd w:id="91"/>
      <w:bookmarkEnd w:id="92"/>
      <w:bookmarkEnd w:id="93"/>
      <w:bookmarkEnd w:id="94"/>
      <w:bookmarkEnd w:id="9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甲方无正当理由拒收行李箱的，甲方向乙方偿付拒收行李箱总值0.05%的违约金。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甲方无故逾期办理货款支付手续的,甲方应按逾期付款总额每日0.05%向乙方支付违约金。</w:t>
      </w:r>
    </w:p>
    <w:p>
      <w:pPr>
        <w:adjustRightInd w:val="0"/>
        <w:snapToGrid w:val="0"/>
        <w:spacing w:line="360" w:lineRule="exact"/>
        <w:ind w:firstLine="442" w:firstLineChars="200"/>
        <w:rPr>
          <w:rFonts w:ascii="宋体" w:hAnsi="宋体"/>
          <w:b/>
          <w:sz w:val="22"/>
        </w:rPr>
      </w:pPr>
      <w:r>
        <w:rPr>
          <w:rFonts w:hint="eastAsia" w:ascii="宋体" w:hAnsi="宋体"/>
          <w:b/>
          <w:sz w:val="22"/>
        </w:rPr>
        <w:t xml:space="preserve">3. </w:t>
      </w:r>
      <w:r>
        <w:rPr>
          <w:rFonts w:hint="eastAsia" w:ascii="宋体" w:hAnsi="宋体"/>
          <w:sz w:val="22"/>
        </w:rPr>
        <w:t>乙方在收到甲方供货指令时，不予响应或无正当理由无法供货的，甲方可解除合同，且没收履约保证金，如造成甲方损失的，由乙方承担赔偿责任，若履约保证金不足以弥补甲方的损失，则乙方补充差额部分。</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当次无正当理由未在规定时间内供货的，每逾期一日交货，需向甲方支付该笔货款千分之五的违约金；逾期十日未交货，甲方可解除合同，且没收履约保证金，如造成甲方损失的，由乙方承担赔偿责任，若履约保证金不足以弥补甲方的损失，则乙方补充差额部分。</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5. </w:t>
      </w:r>
      <w:r>
        <w:rPr>
          <w:rFonts w:hint="eastAsia" w:ascii="宋体" w:hAnsi="宋体"/>
          <w:sz w:val="22"/>
        </w:rPr>
        <w:t>乙方所交的行李箱</w:t>
      </w:r>
      <w:r>
        <w:rPr>
          <w:rFonts w:hint="eastAsia" w:ascii="宋体" w:hAnsi="宋体" w:cs="Arial"/>
          <w:kern w:val="0"/>
          <w:sz w:val="22"/>
        </w:rPr>
        <w:t>尺寸、选型、品质、质量</w:t>
      </w:r>
      <w:r>
        <w:rPr>
          <w:rFonts w:hint="eastAsia" w:ascii="宋体" w:hAnsi="宋体"/>
          <w:sz w:val="22"/>
        </w:rPr>
        <w:t>、颜色等不符合合同规定、招标文件或国家有关规定标准的或与投标样品不一致的，甲方有权拒收、拒付该批次行李箱，并要求乙方更换，乙方愿意更换货物但逾期交货的，按乙方逾期交货处理（起始时间按照首次叫货时间计算）。乙方拒绝更换货物的，甲方有权单方面解除合同，扣除履约保证金，并要求乙方承担给甲方造成的实际损失。</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因乙方提供行李箱质量、安全等其他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numPr>
          <w:ilvl w:val="0"/>
          <w:numId w:val="2"/>
        </w:numPr>
        <w:adjustRightInd w:val="0"/>
        <w:snapToGrid w:val="0"/>
        <w:spacing w:line="560" w:lineRule="exact"/>
        <w:ind w:firstLine="442" w:firstLineChars="200"/>
        <w:rPr>
          <w:rFonts w:ascii="宋体" w:hAnsi="宋体"/>
          <w:b/>
          <w:sz w:val="22"/>
        </w:rPr>
      </w:pPr>
      <w:r>
        <w:rPr>
          <w:rFonts w:hint="eastAsia" w:ascii="宋体" w:hAnsi="宋体"/>
          <w:b/>
          <w:sz w:val="22"/>
        </w:rPr>
        <w:t>供应库履约评价考核</w:t>
      </w:r>
    </w:p>
    <w:p>
      <w:pPr>
        <w:adjustRightInd w:val="0"/>
        <w:snapToGrid w:val="0"/>
        <w:spacing w:line="360" w:lineRule="exact"/>
        <w:ind w:firstLine="440" w:firstLineChars="200"/>
        <w:rPr>
          <w:rFonts w:ascii="宋体" w:hAnsi="宋体"/>
          <w:sz w:val="22"/>
        </w:rPr>
      </w:pPr>
      <w:r>
        <w:rPr>
          <w:rFonts w:hint="eastAsia" w:ascii="宋体" w:hAnsi="宋体"/>
          <w:sz w:val="22"/>
        </w:rPr>
        <w:t>甲方对供应商履约情况进行季度考核，考核结果与履约保证金挂钩，具体评价表见附件3。</w:t>
      </w:r>
    </w:p>
    <w:p>
      <w:pPr>
        <w:adjustRightInd w:val="0"/>
        <w:snapToGrid w:val="0"/>
        <w:spacing w:line="360" w:lineRule="exact"/>
        <w:ind w:firstLine="442" w:firstLineChars="200"/>
        <w:outlineLvl w:val="0"/>
        <w:rPr>
          <w:rFonts w:ascii="宋体" w:hAnsi="宋体"/>
          <w:b/>
          <w:sz w:val="22"/>
        </w:rPr>
      </w:pPr>
      <w:bookmarkStart w:id="96" w:name="_Toc14872"/>
      <w:bookmarkStart w:id="97" w:name="_Toc19393"/>
      <w:bookmarkStart w:id="98" w:name="_Toc822"/>
      <w:r>
        <w:rPr>
          <w:rFonts w:hint="eastAsia" w:ascii="宋体" w:hAnsi="宋体"/>
          <w:b/>
          <w:sz w:val="22"/>
        </w:rPr>
        <w:t>十五、不可抗力事件处理</w:t>
      </w:r>
      <w:bookmarkEnd w:id="96"/>
      <w:bookmarkEnd w:id="97"/>
      <w:bookmarkEnd w:id="9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十六、争议解决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十七、合同组成文件包含下列内容，合同与招投标文件不一致解释顺序如下：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99" w:name="_Toc2285"/>
      <w:bookmarkStart w:id="100" w:name="_Toc25870"/>
      <w:bookmarkStart w:id="101" w:name="_Toc21918"/>
      <w:bookmarkStart w:id="102" w:name="_Toc9284"/>
      <w:bookmarkStart w:id="103" w:name="_Toc28534"/>
      <w:bookmarkStart w:id="104" w:name="_Toc422638521"/>
      <w:bookmarkStart w:id="105" w:name="_Toc19564"/>
      <w:r>
        <w:rPr>
          <w:rFonts w:hint="eastAsia" w:ascii="宋体" w:hAnsi="宋体"/>
          <w:b/>
          <w:sz w:val="22"/>
        </w:rPr>
        <w:t>十八、合同生效及其它</w:t>
      </w:r>
      <w:bookmarkEnd w:id="99"/>
      <w:bookmarkEnd w:id="100"/>
      <w:bookmarkEnd w:id="101"/>
      <w:bookmarkEnd w:id="102"/>
      <w:bookmarkEnd w:id="103"/>
      <w:bookmarkEnd w:id="104"/>
      <w:bookmarkEnd w:id="10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27"/>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附件1：</w:t>
      </w:r>
    </w:p>
    <w:p>
      <w:pPr>
        <w:pStyle w:val="27"/>
        <w:spacing w:line="360" w:lineRule="exact"/>
        <w:ind w:firstLine="442"/>
        <w:jc w:val="left"/>
        <w:rPr>
          <w:rFonts w:ascii="宋体" w:hAnsi="宋体"/>
          <w:b/>
          <w:color w:val="auto"/>
          <w:sz w:val="22"/>
          <w:szCs w:val="22"/>
        </w:rPr>
      </w:pPr>
    </w:p>
    <w:p>
      <w:pPr>
        <w:pStyle w:val="27"/>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25"/>
        <w:adjustRightInd w:val="0"/>
        <w:snapToGrid w:val="0"/>
        <w:ind w:firstLine="442"/>
        <w:jc w:val="left"/>
        <w:rPr>
          <w:rFonts w:ascii="宋体" w:hAnsi="宋体"/>
          <w:b/>
          <w:sz w:val="22"/>
          <w:szCs w:val="22"/>
        </w:rPr>
      </w:pPr>
    </w:p>
    <w:p>
      <w:pPr>
        <w:adjustRightInd w:val="0"/>
        <w:snapToGrid w:val="0"/>
        <w:spacing w:line="360" w:lineRule="exact"/>
        <w:jc w:val="left"/>
        <w:rPr>
          <w:rFonts w:ascii="仿宋_GB2312" w:hAnsi="仿宋_GB2312" w:cs="仿宋_GB2312"/>
          <w:b/>
          <w:szCs w:val="28"/>
        </w:rPr>
      </w:pPr>
      <w:bookmarkStart w:id="106" w:name="_Toc275274581"/>
      <w:r>
        <w:rPr>
          <w:rFonts w:hint="eastAsia" w:ascii="仿宋_GB2312" w:hAnsi="仿宋_GB2312" w:cs="仿宋_GB2312"/>
          <w:b/>
          <w:szCs w:val="28"/>
        </w:rPr>
        <w:t>杭州萧山国际机场有限公司：</w:t>
      </w:r>
    </w:p>
    <w:p>
      <w:pPr>
        <w:pStyle w:val="25"/>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25"/>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5"/>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25"/>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25"/>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25"/>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25"/>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25"/>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2"/>
          <w:szCs w:val="22"/>
        </w:rPr>
        <w:t>0571－86661113。</w:t>
      </w:r>
    </w:p>
    <w:p>
      <w:pPr>
        <w:pStyle w:val="25"/>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spacing w:line="360" w:lineRule="exact"/>
        <w:ind w:firstLine="440" w:firstLineChars="200"/>
        <w:rPr>
          <w:rFonts w:ascii="宋体" w:hAnsi="宋体" w:eastAsia="宋体" w:cs="宋体"/>
          <w:sz w:val="22"/>
        </w:rPr>
      </w:pPr>
      <w:r>
        <w:rPr>
          <w:rFonts w:hint="eastAsia" w:ascii="宋体" w:hAnsi="宋体" w:eastAsia="宋体" w:cs="宋体"/>
          <w:sz w:val="22"/>
        </w:rPr>
        <w:t>1、立即取消我单位投标、中标或在建项目的实施资格；</w:t>
      </w:r>
    </w:p>
    <w:p>
      <w:pPr>
        <w:spacing w:line="360" w:lineRule="exact"/>
        <w:ind w:left="437" w:leftChars="208"/>
        <w:rPr>
          <w:rFonts w:ascii="宋体" w:hAnsi="宋体" w:eastAsia="宋体" w:cs="宋体"/>
          <w:sz w:val="22"/>
        </w:rPr>
      </w:pPr>
      <w:r>
        <w:rPr>
          <w:rFonts w:hint="eastAsia" w:ascii="宋体" w:hAnsi="宋体" w:eastAsia="宋体" w:cs="宋体"/>
          <w:sz w:val="22"/>
        </w:rPr>
        <w:t>2、扣除我方向贵公司缴纳的履约保证金的10%作为违反廉洁自律承诺的违约金。如该违约金不足以弥补贵公司损失的，我单位仍将承担实际损失赔偿责任。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宋体"/>
          <w:sz w:val="22"/>
        </w:rPr>
      </w:pPr>
      <w:r>
        <w:rPr>
          <w:rFonts w:hint="eastAsia" w:ascii="宋体" w:hAnsi="宋体" w:eastAsia="宋体" w:cs="宋体"/>
          <w:sz w:val="22"/>
        </w:rPr>
        <w:t>3、拒绝我单位在一定时期内进入贵公司进行项目建设或其它经营活动；</w:t>
      </w:r>
    </w:p>
    <w:p>
      <w:pPr>
        <w:spacing w:line="360" w:lineRule="exact"/>
        <w:ind w:firstLine="440" w:firstLineChars="200"/>
        <w:rPr>
          <w:rFonts w:ascii="宋体" w:hAnsi="宋体" w:eastAsia="宋体" w:cs="宋体"/>
          <w:sz w:val="22"/>
        </w:rPr>
      </w:pPr>
      <w:r>
        <w:rPr>
          <w:rFonts w:hint="eastAsia" w:ascii="宋体" w:hAnsi="宋体" w:eastAsia="宋体" w:cs="宋体"/>
          <w:sz w:val="22"/>
        </w:rPr>
        <w:t>4、由此引起的相应损失均由我单位承担。</w:t>
      </w:r>
    </w:p>
    <w:p>
      <w:pPr>
        <w:pStyle w:val="25"/>
        <w:adjustRightInd w:val="0"/>
        <w:snapToGrid w:val="0"/>
        <w:ind w:firstLine="440"/>
        <w:jc w:val="left"/>
        <w:rPr>
          <w:rFonts w:ascii="宋体" w:hAnsi="宋体"/>
          <w:sz w:val="22"/>
          <w:szCs w:val="22"/>
        </w:rPr>
      </w:pPr>
    </w:p>
    <w:p>
      <w:pPr>
        <w:pStyle w:val="25"/>
        <w:adjustRightInd w:val="0"/>
        <w:snapToGrid w:val="0"/>
        <w:ind w:firstLine="440"/>
        <w:jc w:val="left"/>
        <w:rPr>
          <w:rFonts w:ascii="宋体" w:hAnsi="宋体"/>
          <w:sz w:val="22"/>
          <w:szCs w:val="22"/>
        </w:rPr>
      </w:pPr>
      <w:r>
        <w:rPr>
          <w:rFonts w:hint="eastAsia" w:ascii="宋体" w:hAnsi="宋体"/>
          <w:sz w:val="22"/>
          <w:szCs w:val="22"/>
        </w:rPr>
        <w:t>承诺人单位名称（盖章）：</w:t>
      </w:r>
      <w:r>
        <w:rPr>
          <w:rFonts w:ascii="宋体" w:hAnsi="宋体"/>
          <w:sz w:val="22"/>
          <w:szCs w:val="22"/>
        </w:rPr>
        <w:t xml:space="preserve"> </w:t>
      </w:r>
    </w:p>
    <w:p>
      <w:pPr>
        <w:pStyle w:val="25"/>
        <w:adjustRightInd w:val="0"/>
        <w:snapToGrid w:val="0"/>
        <w:ind w:firstLine="440"/>
        <w:jc w:val="left"/>
        <w:rPr>
          <w:rFonts w:ascii="宋体" w:hAnsi="宋体"/>
          <w:sz w:val="22"/>
          <w:szCs w:val="22"/>
        </w:rPr>
      </w:pPr>
    </w:p>
    <w:p>
      <w:pPr>
        <w:pStyle w:val="25"/>
        <w:adjustRightInd w:val="0"/>
        <w:snapToGrid w:val="0"/>
        <w:ind w:firstLine="440"/>
        <w:jc w:val="left"/>
        <w:rPr>
          <w:rFonts w:ascii="宋体" w:hAnsi="宋体"/>
          <w:sz w:val="22"/>
          <w:szCs w:val="22"/>
        </w:rPr>
      </w:pPr>
      <w:r>
        <w:rPr>
          <w:rFonts w:ascii="宋体" w:hAnsi="宋体"/>
          <w:sz w:val="22"/>
          <w:szCs w:val="22"/>
        </w:rPr>
        <w:t xml:space="preserve">           </w:t>
      </w:r>
    </w:p>
    <w:p>
      <w:pPr>
        <w:pStyle w:val="25"/>
        <w:adjustRightInd w:val="0"/>
        <w:snapToGrid w:val="0"/>
        <w:ind w:firstLine="440"/>
        <w:jc w:val="left"/>
        <w:rPr>
          <w:rFonts w:ascii="宋体" w:hAnsi="宋体"/>
          <w:sz w:val="22"/>
          <w:szCs w:val="22"/>
        </w:rPr>
      </w:pPr>
      <w:r>
        <w:rPr>
          <w:rFonts w:hint="eastAsia" w:ascii="宋体" w:hAnsi="宋体"/>
          <w:sz w:val="22"/>
          <w:szCs w:val="22"/>
        </w:rPr>
        <w:t>法定代表人</w:t>
      </w:r>
      <w:r>
        <w:rPr>
          <w:rFonts w:ascii="宋体" w:hAnsi="宋体"/>
          <w:sz w:val="22"/>
          <w:szCs w:val="22"/>
        </w:rPr>
        <w:t xml:space="preserve"> ：                    </w:t>
      </w:r>
    </w:p>
    <w:p>
      <w:pPr>
        <w:pStyle w:val="25"/>
        <w:adjustRightInd w:val="0"/>
        <w:snapToGrid w:val="0"/>
        <w:ind w:firstLine="440"/>
        <w:jc w:val="left"/>
        <w:rPr>
          <w:rFonts w:ascii="宋体" w:hAnsi="宋体"/>
          <w:sz w:val="22"/>
          <w:szCs w:val="22"/>
        </w:rPr>
      </w:pPr>
      <w:r>
        <w:rPr>
          <w:rFonts w:hint="eastAsia" w:ascii="宋体" w:hAnsi="宋体"/>
          <w:sz w:val="22"/>
          <w:szCs w:val="22"/>
        </w:rPr>
        <w:t>或</w:t>
      </w:r>
      <w:r>
        <w:rPr>
          <w:rFonts w:ascii="宋体" w:hAnsi="宋体"/>
          <w:sz w:val="22"/>
          <w:szCs w:val="22"/>
        </w:rPr>
        <w:t xml:space="preserve">                            </w:t>
      </w:r>
    </w:p>
    <w:p>
      <w:pPr>
        <w:pStyle w:val="25"/>
        <w:adjustRightInd w:val="0"/>
        <w:snapToGrid w:val="0"/>
        <w:ind w:firstLine="440"/>
        <w:jc w:val="left"/>
        <w:rPr>
          <w:rFonts w:ascii="宋体" w:hAnsi="宋体"/>
          <w:sz w:val="22"/>
          <w:szCs w:val="22"/>
        </w:rPr>
      </w:pPr>
      <w:r>
        <w:rPr>
          <w:rFonts w:hint="eastAsia" w:ascii="宋体" w:hAnsi="宋体"/>
          <w:sz w:val="22"/>
          <w:szCs w:val="22"/>
        </w:rPr>
        <w:t>委托代理人：</w:t>
      </w:r>
      <w:r>
        <w:rPr>
          <w:rFonts w:ascii="宋体" w:hAnsi="宋体"/>
          <w:sz w:val="22"/>
          <w:szCs w:val="22"/>
        </w:rPr>
        <w:t xml:space="preserve">                   </w:t>
      </w:r>
    </w:p>
    <w:p>
      <w:pPr>
        <w:pStyle w:val="25"/>
        <w:adjustRightInd w:val="0"/>
        <w:snapToGrid w:val="0"/>
        <w:ind w:firstLine="442"/>
        <w:jc w:val="left"/>
        <w:rPr>
          <w:rFonts w:ascii="宋体" w:hAnsi="宋体"/>
          <w:b/>
          <w:sz w:val="22"/>
          <w:szCs w:val="22"/>
        </w:rPr>
      </w:pPr>
    </w:p>
    <w:p>
      <w:pPr>
        <w:pStyle w:val="14"/>
        <w:spacing w:line="360" w:lineRule="exact"/>
        <w:rPr>
          <w:rFonts w:ascii="宋体" w:hAnsi="宋体" w:eastAsia="宋体"/>
          <w:b w:val="0"/>
          <w:sz w:val="22"/>
          <w:szCs w:val="22"/>
        </w:rPr>
      </w:pPr>
      <w:r>
        <w:rPr>
          <w:rFonts w:ascii="宋体" w:hAnsi="宋体" w:eastAsia="宋体"/>
          <w:b w:val="0"/>
          <w:sz w:val="22"/>
          <w:szCs w:val="22"/>
        </w:rPr>
        <w:t xml:space="preserve">                           </w:t>
      </w:r>
      <w:bookmarkStart w:id="107" w:name="_Toc1771"/>
      <w:bookmarkStart w:id="108" w:name="_Toc14438"/>
      <w:bookmarkStart w:id="109" w:name="_Toc4148"/>
      <w:r>
        <w:rPr>
          <w:rFonts w:ascii="宋体" w:hAnsi="宋体" w:eastAsia="宋体"/>
          <w:b w:val="0"/>
          <w:sz w:val="22"/>
          <w:szCs w:val="22"/>
        </w:rPr>
        <w:t>年     月     日</w:t>
      </w:r>
      <w:bookmarkEnd w:id="107"/>
      <w:bookmarkEnd w:id="108"/>
      <w:bookmarkEnd w:id="109"/>
    </w:p>
    <w:p>
      <w:pPr>
        <w:snapToGrid w:val="0"/>
        <w:spacing w:line="360" w:lineRule="exact"/>
        <w:rPr>
          <w:rFonts w:ascii="宋体" w:hAnsi="宋体"/>
          <w:sz w:val="24"/>
          <w:szCs w:val="24"/>
        </w:rPr>
      </w:pPr>
      <w:bookmarkStart w:id="110" w:name="_Toc275274582"/>
      <w:bookmarkStart w:id="111" w:name="_Toc9420"/>
      <w:bookmarkStart w:id="112" w:name="_Toc9751"/>
      <w:r>
        <w:rPr>
          <w:rFonts w:hint="eastAsia" w:ascii="宋体" w:hAnsi="宋体"/>
          <w:sz w:val="24"/>
          <w:szCs w:val="24"/>
        </w:rPr>
        <w:br w:type="page"/>
      </w:r>
    </w:p>
    <w:p>
      <w:pPr>
        <w:pStyle w:val="14"/>
        <w:snapToGrid w:val="0"/>
        <w:spacing w:line="360" w:lineRule="exact"/>
        <w:jc w:val="both"/>
        <w:rPr>
          <w:rFonts w:ascii="宋体" w:hAnsi="宋体" w:eastAsiaTheme="minorEastAsia" w:cstheme="minorBidi"/>
          <w:kern w:val="2"/>
          <w:sz w:val="24"/>
          <w:szCs w:val="24"/>
        </w:rPr>
      </w:pPr>
      <w:bookmarkStart w:id="113" w:name="_Toc28302"/>
      <w:bookmarkStart w:id="114" w:name="_Toc6422"/>
      <w:bookmarkStart w:id="115" w:name="_Toc30763"/>
      <w:r>
        <w:rPr>
          <w:rFonts w:hint="eastAsia" w:ascii="宋体" w:hAnsi="宋体" w:eastAsiaTheme="minorEastAsia" w:cstheme="minorBidi"/>
          <w:kern w:val="2"/>
          <w:sz w:val="24"/>
          <w:szCs w:val="24"/>
        </w:rPr>
        <w:t>附件2：</w:t>
      </w:r>
      <w:bookmarkEnd w:id="113"/>
      <w:bookmarkEnd w:id="114"/>
      <w:bookmarkEnd w:id="115"/>
    </w:p>
    <w:p>
      <w:pPr>
        <w:spacing w:line="560" w:lineRule="exact"/>
        <w:jc w:val="center"/>
        <w:rPr>
          <w:rFonts w:ascii="仿宋_GB2312" w:hAnsi="仿宋_GB2312" w:eastAsia="仿宋_GB2312" w:cs="仿宋_GB2312"/>
          <w:b/>
          <w:bCs/>
          <w:sz w:val="28"/>
          <w:szCs w:val="28"/>
        </w:rPr>
      </w:pPr>
      <w:r>
        <w:rPr>
          <w:rFonts w:hint="eastAsia" w:ascii="宋体" w:hAnsi="宋体" w:eastAsia="宋体" w:cs="宋体"/>
          <w:b/>
          <w:bCs/>
          <w:sz w:val="28"/>
          <w:szCs w:val="28"/>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w:t>
      </w:r>
      <w:r>
        <w:rPr>
          <w:rFonts w:ascii="宋体" w:hAnsi="宋体" w:eastAsia="宋体" w:cs="宋体"/>
          <w:sz w:val="22"/>
        </w:rPr>
        <w:t>国际机场有限公司</w:t>
      </w:r>
      <w:r>
        <w:rPr>
          <w:rFonts w:hint="eastAsia" w:ascii="宋体" w:hAnsi="宋体" w:eastAsia="宋体" w:cs="宋体"/>
          <w:sz w:val="22"/>
        </w:rPr>
        <w:t>（包括其关联公司，以下合称“机场公司”）的供应商或潜在供应商候选人，为机场公司提供【杭州萧山国际机场不正常行李赔偿用行李箱供应商选聘】项目的服务。在上述业务来往过程中，机场公司可能向我方提供经营、业务、服务等有关的文件、资料、软件等信息，为维护机场公司的利益，我方就保密事宜做出如下承诺：</w:t>
      </w:r>
    </w:p>
    <w:p>
      <w:pPr>
        <w:spacing w:line="360" w:lineRule="exact"/>
        <w:rPr>
          <w:rFonts w:ascii="宋体" w:hAnsi="宋体" w:eastAsia="宋体" w:cs="宋体"/>
          <w:sz w:val="22"/>
        </w:rPr>
      </w:pPr>
      <w:r>
        <w:rPr>
          <w:rFonts w:ascii="宋体" w:hAnsi="宋体" w:eastAsia="宋体" w:cs="宋体"/>
          <w:sz w:val="22"/>
        </w:rPr>
        <w:t>1.商业秘密</w:t>
      </w:r>
    </w:p>
    <w:p>
      <w:pPr>
        <w:adjustRightInd w:val="0"/>
        <w:snapToGrid w:val="0"/>
        <w:spacing w:line="360" w:lineRule="exact"/>
        <w:rPr>
          <w:rFonts w:ascii="宋体" w:hAnsi="宋体" w:eastAsia="宋体" w:cs="宋体"/>
          <w:sz w:val="22"/>
        </w:rPr>
      </w:pPr>
      <w:r>
        <w:rPr>
          <w:rFonts w:ascii="宋体" w:hAnsi="宋体" w:eastAsia="宋体" w:cs="宋体"/>
          <w:sz w:val="22"/>
        </w:rPr>
        <w:t>1.1商业秘密是指机场公司一切专有、不对外公开的资料和信息。包括但不限于以下方面：</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1）经营信息（发展规划、运营状况、客户资源、货源情报、投融资计划、开发计划、标书等）；</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2）管理信息（管理方法、管理制度、员工管理、合同管理、纠纷管理等）；</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3）产品及技术信息（设计及图纸、样品及服务、技术方案、质量标准、技术标准、计算机程序等）；</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4）财务信息（财务收支、固定资产、流动资金、成本核算等）；</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5）我方单独或机场公司和我方共同为机场公司开发、设计、生产的产品、资料及相关信息；</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rPr>
          <w:rFonts w:ascii="宋体" w:hAnsi="宋体" w:eastAsia="宋体" w:cs="宋体"/>
          <w:sz w:val="22"/>
        </w:rPr>
      </w:pPr>
      <w:r>
        <w:rPr>
          <w:rFonts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开发的设备、运营程序而眼见的。我方一旦接触商业秘密，应立即采取保密措施。除非机场公司书面同意解禁该秘密，机场公司商业秘密的保密期限为永久。</w:t>
      </w:r>
    </w:p>
    <w:p>
      <w:pPr>
        <w:spacing w:line="360" w:lineRule="exact"/>
        <w:rPr>
          <w:rFonts w:ascii="宋体" w:hAnsi="宋体" w:eastAsia="宋体" w:cs="宋体"/>
          <w:sz w:val="22"/>
        </w:rPr>
      </w:pPr>
      <w:r>
        <w:rPr>
          <w:rFonts w:ascii="宋体" w:hAnsi="宋体" w:eastAsia="宋体" w:cs="宋体"/>
          <w:sz w:val="22"/>
        </w:rPr>
        <w:t>1.3、对于上述提及的商业秘密，不能仅因为公开发表的文章或资讯中包含其内容，就认为是可对外公开的特殊情况。</w:t>
      </w:r>
    </w:p>
    <w:p>
      <w:pPr>
        <w:spacing w:line="360" w:lineRule="exact"/>
        <w:rPr>
          <w:rFonts w:ascii="宋体" w:hAnsi="宋体" w:eastAsia="宋体" w:cs="宋体"/>
          <w:sz w:val="22"/>
        </w:rPr>
      </w:pPr>
      <w:r>
        <w:rPr>
          <w:rFonts w:ascii="宋体" w:hAnsi="宋体" w:eastAsia="宋体" w:cs="宋体"/>
          <w:sz w:val="22"/>
        </w:rPr>
        <w:t>1.4、以下资料不属于本承诺所指的商业秘密：</w:t>
      </w:r>
    </w:p>
    <w:p>
      <w:pPr>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2）已经公开或已成为公众所知悉的常识性的资料，且该等公开并非因违反本承诺所致。</w:t>
      </w:r>
    </w:p>
    <w:p>
      <w:pPr>
        <w:spacing w:line="360" w:lineRule="exact"/>
        <w:rPr>
          <w:rFonts w:ascii="宋体" w:hAnsi="宋体" w:eastAsia="宋体" w:cs="宋体"/>
          <w:sz w:val="22"/>
        </w:rPr>
      </w:pPr>
      <w:r>
        <w:rPr>
          <w:rFonts w:ascii="宋体" w:hAnsi="宋体" w:eastAsia="宋体" w:cs="宋体"/>
          <w:sz w:val="22"/>
        </w:rPr>
        <w:t>2、我方承诺将严格保密，维护机场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的商业秘密之日起，即能清楚地了解并自觉遵守其应尽的保密责任。若我方员工因任何原因未能履行本承诺所述的保密义务，则视为我方违反了本承诺。</w:t>
      </w:r>
    </w:p>
    <w:p>
      <w:pPr>
        <w:spacing w:line="360" w:lineRule="exact"/>
        <w:rPr>
          <w:rFonts w:ascii="宋体" w:hAnsi="宋体" w:eastAsia="宋体" w:cs="宋体"/>
          <w:sz w:val="22"/>
        </w:rPr>
      </w:pPr>
      <w:r>
        <w:rPr>
          <w:rFonts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bookmarkStart w:id="116" w:name="_Hlk10634806"/>
      <w:r>
        <w:rPr>
          <w:rFonts w:hint="eastAsia" w:ascii="宋体" w:hAnsi="宋体" w:eastAsia="宋体" w:cs="宋体"/>
          <w:sz w:val="22"/>
        </w:rPr>
        <w:t>，并提供相应书面证明</w:t>
      </w:r>
      <w:bookmarkEnd w:id="116"/>
      <w:r>
        <w:rPr>
          <w:rFonts w:hint="eastAsia" w:ascii="宋体" w:hAnsi="宋体" w:eastAsia="宋体" w:cs="宋体"/>
          <w:sz w:val="22"/>
        </w:rPr>
        <w:t>。</w:t>
      </w:r>
    </w:p>
    <w:p>
      <w:pPr>
        <w:adjustRightInd w:val="0"/>
        <w:snapToGrid w:val="0"/>
        <w:spacing w:line="360" w:lineRule="exact"/>
        <w:rPr>
          <w:rFonts w:ascii="宋体" w:hAnsi="宋体" w:eastAsia="宋体" w:cs="宋体"/>
          <w:sz w:val="22"/>
        </w:rPr>
      </w:pPr>
      <w:r>
        <w:rPr>
          <w:rFonts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1）披露、使用或者允许他人以不正当手段获取的商业秘密；</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2）为机场公司以外的第三人窃取、刺探、收买、非法提供商业秘密。</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5）擅自将属于商业秘密的文件、资料和其他物品携带、传递、寄运出机场公司办公场所或国（境）外。</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7）将含有机场公司商业秘密的产品、技术或其他资料、信息向第三人销售、使用或以任何方式提供。</w:t>
      </w:r>
    </w:p>
    <w:p>
      <w:pPr>
        <w:spacing w:line="360" w:lineRule="exact"/>
        <w:rPr>
          <w:rFonts w:ascii="宋体" w:hAnsi="宋体" w:eastAsia="宋体" w:cs="宋体"/>
          <w:sz w:val="22"/>
        </w:rPr>
      </w:pPr>
      <w:r>
        <w:rPr>
          <w:rFonts w:ascii="宋体" w:hAnsi="宋体" w:eastAsia="宋体" w:cs="宋体"/>
          <w:sz w:val="22"/>
        </w:rPr>
        <w:t>5、我方依法根据司法机关、侦查机关、或政府机构的合法指令而透露有关资料不属于违反保密义务。此情况之下，我方必须在</w:t>
      </w:r>
      <w:bookmarkStart w:id="117" w:name="_Hlk10634818"/>
      <w:r>
        <w:rPr>
          <w:rFonts w:hint="eastAsia" w:ascii="宋体" w:hAnsi="宋体" w:eastAsia="宋体" w:cs="宋体"/>
          <w:sz w:val="22"/>
        </w:rPr>
        <w:t>收到该等指令之后</w:t>
      </w:r>
      <w:bookmarkEnd w:id="117"/>
      <w:r>
        <w:rPr>
          <w:rFonts w:hint="eastAsia" w:ascii="宋体" w:hAnsi="宋体" w:eastAsia="宋体" w:cs="宋体"/>
          <w:sz w:val="22"/>
        </w:rPr>
        <w:t>和透露</w:t>
      </w:r>
      <w:bookmarkStart w:id="118" w:name="_Hlk10634824"/>
      <w:r>
        <w:rPr>
          <w:rFonts w:hint="eastAsia" w:ascii="宋体" w:hAnsi="宋体" w:eastAsia="宋体" w:cs="宋体"/>
          <w:sz w:val="22"/>
        </w:rPr>
        <w:t>有关资料</w:t>
      </w:r>
      <w:bookmarkEnd w:id="118"/>
      <w:r>
        <w:rPr>
          <w:rFonts w:hint="eastAsia" w:ascii="宋体" w:hAnsi="宋体" w:eastAsia="宋体" w:cs="宋体"/>
          <w:sz w:val="22"/>
        </w:rPr>
        <w:t>之前</w:t>
      </w:r>
      <w:bookmarkStart w:id="119" w:name="_Hlk10634829"/>
      <w:r>
        <w:rPr>
          <w:rFonts w:hint="eastAsia" w:ascii="宋体" w:hAnsi="宋体" w:eastAsia="宋体" w:cs="宋体"/>
          <w:sz w:val="22"/>
        </w:rPr>
        <w:t>立即书面</w:t>
      </w:r>
      <w:bookmarkEnd w:id="119"/>
      <w:r>
        <w:rPr>
          <w:rFonts w:hint="eastAsia" w:ascii="宋体" w:hAnsi="宋体" w:eastAsia="宋体" w:cs="宋体"/>
          <w:sz w:val="22"/>
        </w:rPr>
        <w:t>通知机场公司，使机场公司有机会采取合法措施进行答辩与解释；并且我方应只得透露法律上要求透露的部分机密资料。</w:t>
      </w:r>
    </w:p>
    <w:p>
      <w:pPr>
        <w:spacing w:line="360" w:lineRule="exact"/>
        <w:rPr>
          <w:rFonts w:ascii="宋体" w:hAnsi="宋体" w:eastAsia="宋体" w:cs="宋体"/>
          <w:sz w:val="22"/>
        </w:rPr>
      </w:pPr>
      <w:r>
        <w:rPr>
          <w:rFonts w:ascii="宋体" w:hAnsi="宋体" w:eastAsia="宋体" w:cs="宋体"/>
          <w:sz w:val="22"/>
        </w:rPr>
        <w:t>6、我方发生上述违约行为时，机场公司有权要求我方立即停止</w:t>
      </w:r>
      <w:bookmarkStart w:id="120" w:name="_Hlk10634849"/>
      <w:r>
        <w:rPr>
          <w:rFonts w:hint="eastAsia" w:ascii="宋体" w:hAnsi="宋体" w:eastAsia="宋体" w:cs="宋体"/>
          <w:sz w:val="22"/>
        </w:rPr>
        <w:t>所有违约、</w:t>
      </w:r>
      <w:bookmarkEnd w:id="120"/>
      <w:r>
        <w:rPr>
          <w:rFonts w:hint="eastAsia" w:ascii="宋体" w:hAnsi="宋体" w:eastAsia="宋体" w:cs="宋体"/>
          <w:sz w:val="22"/>
        </w:rPr>
        <w:t>侵权行为和进一步的对外泄露或滥用，并要求我方采取一切合理的补救措施，并有权终止我方</w:t>
      </w:r>
      <w:bookmarkStart w:id="121" w:name="_Hlk10634867"/>
      <w:r>
        <w:rPr>
          <w:rFonts w:hint="eastAsia" w:ascii="宋体" w:hAnsi="宋体" w:eastAsia="宋体" w:cs="宋体"/>
          <w:sz w:val="22"/>
        </w:rPr>
        <w:t>与机场公司</w:t>
      </w:r>
      <w:bookmarkEnd w:id="121"/>
      <w:r>
        <w:rPr>
          <w:rFonts w:hint="eastAsia" w:ascii="宋体" w:hAnsi="宋体" w:eastAsia="宋体" w:cs="宋体"/>
          <w:sz w:val="22"/>
        </w:rPr>
        <w:t>正在执行的其他合同，而机场公司无需对此承担任何责任。</w:t>
      </w:r>
    </w:p>
    <w:p>
      <w:pPr>
        <w:spacing w:line="360" w:lineRule="exact"/>
        <w:rPr>
          <w:rFonts w:ascii="宋体" w:hAnsi="宋体" w:eastAsia="宋体" w:cs="宋体"/>
          <w:sz w:val="22"/>
        </w:rPr>
      </w:pPr>
      <w:r>
        <w:rPr>
          <w:rFonts w:ascii="宋体" w:hAnsi="宋体" w:eastAsia="宋体" w:cs="宋体"/>
          <w:sz w:val="22"/>
        </w:rPr>
        <w:t>7、我方已理解和承认，任何违反本承诺的对外泄露或擅自使用商业秘密，将对机场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rPr>
          <w:rFonts w:ascii="宋体" w:hAnsi="宋体" w:eastAsia="宋体" w:cs="宋体"/>
          <w:sz w:val="22"/>
        </w:rPr>
      </w:pPr>
      <w:r>
        <w:rPr>
          <w:rFonts w:ascii="宋体" w:hAnsi="宋体" w:eastAsia="宋体" w:cs="宋体"/>
          <w:sz w:val="22"/>
        </w:rPr>
        <w:t>8、违约责任</w:t>
      </w:r>
    </w:p>
    <w:p>
      <w:pPr>
        <w:adjustRightInd w:val="0"/>
        <w:snapToGrid w:val="0"/>
        <w:spacing w:line="360" w:lineRule="exact"/>
        <w:rPr>
          <w:rFonts w:ascii="宋体" w:hAnsi="宋体" w:eastAsia="宋体" w:cs="宋体"/>
          <w:sz w:val="22"/>
        </w:rPr>
      </w:pPr>
      <w:r>
        <w:rPr>
          <w:rFonts w:ascii="宋体" w:hAnsi="宋体" w:eastAsia="宋体" w:cs="宋体"/>
          <w:sz w:val="22"/>
        </w:rPr>
        <w:t>8.1因我方违反保密义务的行为造成机场公司的一切损失，我方应当全部予以赔偿。</w:t>
      </w:r>
    </w:p>
    <w:p>
      <w:pPr>
        <w:adjustRightInd w:val="0"/>
        <w:snapToGrid w:val="0"/>
        <w:spacing w:line="360" w:lineRule="exact"/>
        <w:rPr>
          <w:rFonts w:ascii="宋体" w:hAnsi="宋体" w:eastAsia="宋体" w:cs="宋体"/>
          <w:sz w:val="22"/>
        </w:rPr>
      </w:pPr>
      <w:r>
        <w:rPr>
          <w:rFonts w:ascii="宋体" w:hAnsi="宋体" w:eastAsia="宋体" w:cs="宋体"/>
          <w:sz w:val="22"/>
        </w:rPr>
        <w:t>8.2如我方违反本承诺书下保密义务，应当承担违约责任，除赔偿损失外，还应依据合同向机场公司支付相应的违约金；</w:t>
      </w:r>
    </w:p>
    <w:p>
      <w:pPr>
        <w:spacing w:line="360" w:lineRule="exact"/>
        <w:rPr>
          <w:rFonts w:ascii="宋体" w:hAnsi="宋体" w:eastAsia="宋体" w:cs="宋体"/>
          <w:sz w:val="22"/>
        </w:rPr>
      </w:pPr>
      <w:r>
        <w:rPr>
          <w:rFonts w:ascii="宋体" w:hAnsi="宋体" w:eastAsia="宋体" w:cs="宋体"/>
          <w:sz w:val="22"/>
        </w:rPr>
        <w:t>9、本承诺书适用中华人民共和国法律，如因履行本承诺书发生争议，则任何一方均有权向杭州萧山国际机场有限公司</w:t>
      </w:r>
      <w:r>
        <w:rPr>
          <w:rFonts w:hint="eastAsia" w:ascii="宋体" w:hAnsi="宋体" w:eastAsia="宋体" w:cs="宋体"/>
          <w:sz w:val="22"/>
        </w:rPr>
        <w:t>所在地法院提起诉讼。</w:t>
      </w:r>
    </w:p>
    <w:p>
      <w:pPr>
        <w:spacing w:line="360" w:lineRule="exact"/>
        <w:rPr>
          <w:rFonts w:ascii="宋体" w:hAnsi="宋体" w:eastAsia="宋体" w:cs="宋体"/>
          <w:sz w:val="22"/>
        </w:rPr>
      </w:pPr>
    </w:p>
    <w:p>
      <w:pPr>
        <w:spacing w:line="360" w:lineRule="exact"/>
        <w:jc w:val="left"/>
        <w:rPr>
          <w:rFonts w:ascii="宋体" w:hAnsi="宋体" w:eastAsia="宋体" w:cs="宋体"/>
          <w:sz w:val="22"/>
        </w:rPr>
      </w:pPr>
      <w:r>
        <w:rPr>
          <w:rFonts w:hint="eastAsia" w:ascii="宋体" w:hAnsi="宋体" w:eastAsia="宋体" w:cs="宋体"/>
          <w:sz w:val="22"/>
        </w:rPr>
        <w:t>供应商</w:t>
      </w:r>
      <w:r>
        <w:rPr>
          <w:rFonts w:ascii="宋体" w:hAnsi="宋体" w:eastAsia="宋体" w:cs="宋体"/>
          <w:sz w:val="22"/>
        </w:rPr>
        <w:t xml:space="preserve">(盖章):  </w:t>
      </w:r>
      <w:r>
        <w:rPr>
          <w:rFonts w:hint="eastAsia" w:ascii="宋体" w:hAnsi="宋体" w:eastAsia="宋体" w:cs="宋体"/>
          <w:sz w:val="22"/>
        </w:rPr>
        <w:t xml:space="preserve">  </w:t>
      </w:r>
      <w:r>
        <w:rPr>
          <w:rFonts w:ascii="宋体" w:hAnsi="宋体" w:eastAsia="宋体" w:cs="宋体"/>
          <w:sz w:val="22"/>
        </w:rPr>
        <w:t xml:space="preserve">                         </w:t>
      </w:r>
    </w:p>
    <w:p>
      <w:pPr>
        <w:spacing w:line="360" w:lineRule="exact"/>
        <w:jc w:val="left"/>
        <w:rPr>
          <w:rFonts w:ascii="宋体" w:hAnsi="宋体" w:eastAsia="宋体" w:cs="宋体"/>
          <w:sz w:val="22"/>
        </w:rPr>
      </w:pPr>
      <w:r>
        <w:rPr>
          <w:rFonts w:ascii="宋体" w:hAnsi="宋体" w:eastAsia="宋体" w:cs="宋体"/>
          <w:sz w:val="22"/>
        </w:rPr>
        <w:t xml:space="preserve">   </w:t>
      </w:r>
    </w:p>
    <w:p>
      <w:pPr>
        <w:spacing w:line="360" w:lineRule="exact"/>
        <w:jc w:val="left"/>
        <w:rPr>
          <w:rFonts w:ascii="宋体" w:hAnsi="宋体" w:eastAsia="宋体" w:cs="宋体"/>
          <w:sz w:val="22"/>
        </w:rPr>
      </w:pPr>
      <w:r>
        <w:rPr>
          <w:rFonts w:ascii="宋体" w:hAnsi="宋体" w:eastAsia="宋体" w:cs="宋体"/>
          <w:sz w:val="22"/>
        </w:rPr>
        <w:t>法定代表人或授权代表：</w:t>
      </w:r>
    </w:p>
    <w:p>
      <w:pPr>
        <w:spacing w:line="360" w:lineRule="exact"/>
        <w:jc w:val="left"/>
        <w:rPr>
          <w:rFonts w:ascii="宋体" w:hAnsi="宋体" w:eastAsia="宋体" w:cs="宋体"/>
          <w:sz w:val="22"/>
        </w:rPr>
      </w:pPr>
      <w:r>
        <w:rPr>
          <w:rFonts w:hint="eastAsia" w:ascii="宋体" w:hAnsi="宋体" w:eastAsia="宋体" w:cs="宋体"/>
          <w:sz w:val="22"/>
        </w:rPr>
        <w:t>电话</w:t>
      </w:r>
      <w:r>
        <w:rPr>
          <w:rFonts w:ascii="宋体" w:hAnsi="宋体" w:eastAsia="宋体" w:cs="宋体"/>
          <w:sz w:val="22"/>
        </w:rPr>
        <w:t xml:space="preserve">/传真：   </w:t>
      </w:r>
      <w:r>
        <w:rPr>
          <w:rFonts w:hint="eastAsia" w:ascii="宋体" w:hAnsi="宋体" w:eastAsia="宋体" w:cs="宋体"/>
          <w:sz w:val="22"/>
        </w:rPr>
        <w:t xml:space="preserve">    </w:t>
      </w:r>
      <w:r>
        <w:rPr>
          <w:rFonts w:ascii="宋体" w:hAnsi="宋体" w:eastAsia="宋体" w:cs="宋体"/>
          <w:sz w:val="22"/>
        </w:rPr>
        <w:t xml:space="preserve">                         </w:t>
      </w:r>
    </w:p>
    <w:p>
      <w:pPr>
        <w:spacing w:line="360" w:lineRule="exact"/>
        <w:jc w:val="left"/>
        <w:rPr>
          <w:rFonts w:ascii="宋体" w:hAnsi="宋体" w:eastAsia="宋体" w:cs="宋体"/>
          <w:sz w:val="22"/>
        </w:rPr>
      </w:pPr>
      <w:r>
        <w:rPr>
          <w:rFonts w:hint="eastAsia" w:ascii="宋体" w:hAnsi="宋体" w:eastAsia="宋体" w:cs="宋体"/>
          <w:sz w:val="22"/>
        </w:rPr>
        <w:t>地址：</w:t>
      </w:r>
      <w:r>
        <w:rPr>
          <w:rFonts w:ascii="宋体" w:hAnsi="宋体" w:eastAsia="宋体" w:cs="宋体"/>
          <w:sz w:val="22"/>
        </w:rPr>
        <w:t xml:space="preserve">    </w:t>
      </w:r>
      <w:r>
        <w:rPr>
          <w:rFonts w:hint="eastAsia" w:ascii="宋体" w:hAnsi="宋体" w:eastAsia="宋体" w:cs="宋体"/>
          <w:sz w:val="22"/>
        </w:rPr>
        <w:t xml:space="preserve">    </w:t>
      </w:r>
      <w:r>
        <w:rPr>
          <w:rFonts w:ascii="宋体" w:hAnsi="宋体" w:eastAsia="宋体" w:cs="宋体"/>
          <w:sz w:val="22"/>
        </w:rPr>
        <w:t xml:space="preserve">                            </w:t>
      </w:r>
    </w:p>
    <w:p>
      <w:pPr>
        <w:spacing w:line="360" w:lineRule="exact"/>
        <w:jc w:val="left"/>
        <w:rPr>
          <w:rFonts w:ascii="宋体" w:hAnsi="宋体" w:eastAsia="宋体" w:cs="宋体"/>
          <w:sz w:val="24"/>
          <w:szCs w:val="24"/>
        </w:rPr>
      </w:pPr>
      <w:r>
        <w:rPr>
          <w:rFonts w:ascii="宋体" w:hAnsi="宋体" w:eastAsia="宋体" w:cs="宋体"/>
          <w:sz w:val="22"/>
        </w:rPr>
        <w:t xml:space="preserve">日期：     年   月   日    </w:t>
      </w:r>
      <w:r>
        <w:rPr>
          <w:rFonts w:hint="eastAsia" w:ascii="宋体" w:hAnsi="宋体" w:eastAsia="宋体" w:cs="宋体"/>
          <w:sz w:val="24"/>
          <w:szCs w:val="24"/>
        </w:rPr>
        <w:t xml:space="preserve">               </w:t>
      </w:r>
    </w:p>
    <w:p>
      <w:pPr>
        <w:spacing w:line="560" w:lineRule="exact"/>
        <w:ind w:firstLine="600" w:firstLineChars="200"/>
        <w:jc w:val="left"/>
        <w:rPr>
          <w:rFonts w:ascii="仿宋_GB2312" w:eastAsia="仿宋_GB2312"/>
          <w:sz w:val="30"/>
          <w:szCs w:val="30"/>
        </w:rPr>
      </w:pPr>
    </w:p>
    <w:p>
      <w:pPr>
        <w:snapToGrid w:val="0"/>
        <w:spacing w:line="360" w:lineRule="exact"/>
        <w:rPr>
          <w:rFonts w:ascii="宋体" w:hAnsi="宋体"/>
          <w:sz w:val="24"/>
          <w:szCs w:val="24"/>
        </w:rPr>
      </w:pPr>
      <w:r>
        <w:rPr>
          <w:rFonts w:hint="eastAsia" w:ascii="宋体" w:hAnsi="宋体"/>
          <w:sz w:val="24"/>
          <w:szCs w:val="24"/>
        </w:rPr>
        <w:br w:type="page"/>
      </w:r>
    </w:p>
    <w:p>
      <w:pPr>
        <w:pStyle w:val="14"/>
        <w:snapToGrid w:val="0"/>
        <w:spacing w:line="360" w:lineRule="exact"/>
        <w:jc w:val="both"/>
        <w:rPr>
          <w:rFonts w:ascii="宋体" w:hAnsi="宋体" w:eastAsiaTheme="minorEastAsia" w:cstheme="minorBidi"/>
          <w:kern w:val="2"/>
          <w:sz w:val="24"/>
          <w:szCs w:val="24"/>
        </w:rPr>
      </w:pPr>
      <w:bookmarkStart w:id="122" w:name="_Toc9552"/>
      <w:bookmarkStart w:id="123" w:name="_Toc15338"/>
      <w:bookmarkStart w:id="124" w:name="_Toc8866"/>
      <w:r>
        <w:rPr>
          <w:rFonts w:hint="eastAsia" w:ascii="宋体" w:hAnsi="宋体" w:eastAsiaTheme="minorEastAsia" w:cstheme="minorBidi"/>
          <w:kern w:val="2"/>
          <w:sz w:val="24"/>
          <w:szCs w:val="24"/>
        </w:rPr>
        <w:t>附件3：</w:t>
      </w:r>
      <w:bookmarkEnd w:id="122"/>
      <w:bookmarkEnd w:id="123"/>
      <w:bookmarkEnd w:id="124"/>
    </w:p>
    <w:p>
      <w:pPr>
        <w:snapToGrid w:val="0"/>
        <w:spacing w:line="360" w:lineRule="exact"/>
        <w:ind w:firstLine="422" w:firstLineChars="200"/>
        <w:jc w:val="center"/>
        <w:rPr>
          <w:rFonts w:ascii="宋体" w:hAnsi="宋体"/>
          <w:b/>
          <w:bCs/>
        </w:rPr>
      </w:pPr>
      <w:r>
        <w:rPr>
          <w:rFonts w:hint="eastAsia" w:ascii="宋体" w:hAnsi="宋体"/>
          <w:b/>
          <w:bCs/>
        </w:rPr>
        <w:t>考核评价表</w:t>
      </w:r>
    </w:p>
    <w:p>
      <w:pPr>
        <w:pStyle w:val="26"/>
        <w:adjustRightInd w:val="0"/>
        <w:snapToGrid w:val="0"/>
        <w:spacing w:line="360" w:lineRule="auto"/>
        <w:jc w:val="center"/>
        <w:rPr>
          <w:rFonts w:ascii="宋体" w:hAnsi="宋体" w:cs="宋体"/>
          <w:kern w:val="0"/>
          <w:sz w:val="22"/>
        </w:rPr>
      </w:pPr>
      <w:r>
        <w:rPr>
          <w:rFonts w:hint="eastAsia" w:hAnsi="宋体" w:cs="宋体"/>
          <w:kern w:val="0"/>
        </w:rPr>
        <w:t xml:space="preserve">                                     </w:t>
      </w:r>
      <w:r>
        <w:rPr>
          <w:rFonts w:ascii="宋体" w:hAnsi="宋体" w:cs="宋体"/>
          <w:kern w:val="0"/>
          <w:sz w:val="22"/>
        </w:rPr>
        <w:t xml:space="preserve"> </w:t>
      </w:r>
      <w:r>
        <w:rPr>
          <w:rFonts w:hint="eastAsia" w:ascii="宋体" w:hAnsi="宋体" w:cs="宋体"/>
          <w:kern w:val="0"/>
          <w:sz w:val="22"/>
        </w:rPr>
        <w:t xml:space="preserve">                  </w:t>
      </w:r>
    </w:p>
    <w:p>
      <w:pPr>
        <w:pStyle w:val="26"/>
        <w:adjustRightInd w:val="0"/>
        <w:snapToGrid w:val="0"/>
        <w:spacing w:line="360" w:lineRule="auto"/>
        <w:jc w:val="righ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日期：</w:t>
      </w:r>
      <w:r>
        <w:rPr>
          <w:rFonts w:ascii="宋体" w:hAnsi="宋体" w:cs="宋体"/>
          <w:kern w:val="0"/>
          <w:sz w:val="22"/>
        </w:rPr>
        <w:t xml:space="preserve">   </w:t>
      </w:r>
      <w:r>
        <w:rPr>
          <w:rFonts w:hint="eastAsia" w:ascii="宋体" w:hAnsi="宋体" w:cs="宋体"/>
          <w:kern w:val="0"/>
          <w:sz w:val="22"/>
        </w:rPr>
        <w:t>年</w:t>
      </w:r>
      <w:r>
        <w:rPr>
          <w:rFonts w:ascii="宋体" w:hAnsi="宋体" w:cs="宋体"/>
          <w:kern w:val="0"/>
          <w:sz w:val="22"/>
        </w:rPr>
        <w:t xml:space="preserve">   </w:t>
      </w:r>
      <w:r>
        <w:rPr>
          <w:rFonts w:hint="eastAsia" w:ascii="宋体" w:hAnsi="宋体" w:cs="宋体"/>
          <w:kern w:val="0"/>
          <w:sz w:val="22"/>
        </w:rPr>
        <w:t>月</w:t>
      </w:r>
      <w:r>
        <w:rPr>
          <w:rFonts w:ascii="宋体" w:hAnsi="宋体" w:cs="宋体"/>
          <w:kern w:val="0"/>
          <w:sz w:val="22"/>
        </w:rPr>
        <w:t xml:space="preserve">    </w:t>
      </w:r>
      <w:r>
        <w:rPr>
          <w:rFonts w:hint="eastAsia" w:ascii="宋体" w:hAnsi="宋体" w:cs="宋体"/>
          <w:kern w:val="0"/>
          <w:sz w:val="22"/>
        </w:rPr>
        <w:t>日</w:t>
      </w:r>
    </w:p>
    <w:tbl>
      <w:tblPr>
        <w:tblStyle w:val="16"/>
        <w:tblW w:w="9510" w:type="dxa"/>
        <w:tblInd w:w="-19" w:type="dxa"/>
        <w:tblLayout w:type="fixed"/>
        <w:tblCellMar>
          <w:top w:w="0" w:type="dxa"/>
          <w:left w:w="108" w:type="dxa"/>
          <w:bottom w:w="0" w:type="dxa"/>
          <w:right w:w="108" w:type="dxa"/>
        </w:tblCellMar>
      </w:tblPr>
      <w:tblGrid>
        <w:gridCol w:w="2715"/>
        <w:gridCol w:w="2700"/>
        <w:gridCol w:w="697"/>
        <w:gridCol w:w="698"/>
        <w:gridCol w:w="2700"/>
      </w:tblGrid>
      <w:tr>
        <w:tblPrEx>
          <w:tblCellMar>
            <w:top w:w="0" w:type="dxa"/>
            <w:left w:w="108" w:type="dxa"/>
            <w:bottom w:w="0" w:type="dxa"/>
            <w:right w:w="108" w:type="dxa"/>
          </w:tblCellMar>
        </w:tblPrEx>
        <w:trPr>
          <w:trHeight w:val="626" w:hRule="atLeast"/>
        </w:trPr>
        <w:tc>
          <w:tcPr>
            <w:tcW w:w="2715" w:type="dxa"/>
            <w:tcBorders>
              <w:top w:val="single" w:color="auto" w:sz="4" w:space="0"/>
              <w:left w:val="single" w:color="auto" w:sz="4" w:space="0"/>
              <w:bottom w:val="single" w:color="auto" w:sz="4" w:space="0"/>
              <w:right w:val="single" w:color="auto" w:sz="4" w:space="0"/>
            </w:tcBorders>
            <w:vAlign w:val="center"/>
          </w:tcPr>
          <w:p>
            <w:pPr>
              <w:pStyle w:val="26"/>
              <w:widowControl/>
              <w:adjustRightInd w:val="0"/>
              <w:snapToGrid w:val="0"/>
              <w:rPr>
                <w:rFonts w:ascii="宋体" w:hAnsi="宋体" w:cs="宋体"/>
                <w:sz w:val="22"/>
              </w:rPr>
            </w:pPr>
            <w:r>
              <w:rPr>
                <w:rFonts w:hint="eastAsia" w:ascii="宋体" w:hAnsi="宋体" w:cs="宋体"/>
                <w:sz w:val="22"/>
              </w:rPr>
              <w:t>供应商名称</w:t>
            </w:r>
          </w:p>
        </w:tc>
        <w:tc>
          <w:tcPr>
            <w:tcW w:w="2700" w:type="dxa"/>
            <w:tcBorders>
              <w:top w:val="single" w:color="auto" w:sz="4" w:space="0"/>
              <w:left w:val="nil"/>
              <w:bottom w:val="single" w:color="auto" w:sz="4" w:space="0"/>
              <w:right w:val="single" w:color="auto" w:sz="4" w:space="0"/>
            </w:tcBorders>
            <w:vAlign w:val="center"/>
          </w:tcPr>
          <w:p>
            <w:pPr>
              <w:pStyle w:val="26"/>
              <w:widowControl/>
              <w:adjustRightInd w:val="0"/>
              <w:snapToGrid w:val="0"/>
              <w:rPr>
                <w:rFonts w:ascii="宋体" w:hAnsi="宋体" w:cs="宋体"/>
                <w:sz w:val="22"/>
              </w:rPr>
            </w:pPr>
          </w:p>
        </w:tc>
        <w:tc>
          <w:tcPr>
            <w:tcW w:w="1395" w:type="dxa"/>
            <w:gridSpan w:val="2"/>
            <w:tcBorders>
              <w:top w:val="single" w:color="auto" w:sz="4" w:space="0"/>
              <w:left w:val="nil"/>
              <w:bottom w:val="single" w:color="auto" w:sz="4" w:space="0"/>
              <w:right w:val="single" w:color="auto" w:sz="4" w:space="0"/>
            </w:tcBorders>
            <w:vAlign w:val="center"/>
          </w:tcPr>
          <w:p>
            <w:pPr>
              <w:pStyle w:val="26"/>
              <w:widowControl/>
              <w:adjustRightInd w:val="0"/>
              <w:snapToGrid w:val="0"/>
              <w:rPr>
                <w:rFonts w:ascii="宋体" w:hAnsi="宋体" w:cs="宋体"/>
                <w:sz w:val="22"/>
              </w:rPr>
            </w:pPr>
            <w:r>
              <w:rPr>
                <w:rFonts w:hint="eastAsia" w:ascii="宋体" w:hAnsi="宋体" w:cs="宋体"/>
                <w:sz w:val="22"/>
              </w:rPr>
              <w:t>项目负责人</w:t>
            </w:r>
          </w:p>
        </w:tc>
        <w:tc>
          <w:tcPr>
            <w:tcW w:w="2700" w:type="dxa"/>
            <w:tcBorders>
              <w:top w:val="single" w:color="auto" w:sz="4" w:space="0"/>
              <w:left w:val="nil"/>
              <w:bottom w:val="single" w:color="auto" w:sz="4" w:space="0"/>
              <w:right w:val="single" w:color="auto" w:sz="4" w:space="0"/>
            </w:tcBorders>
            <w:vAlign w:val="center"/>
          </w:tcPr>
          <w:p>
            <w:pPr>
              <w:pStyle w:val="26"/>
              <w:widowControl/>
              <w:adjustRightInd w:val="0"/>
              <w:snapToGrid w:val="0"/>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26"/>
              <w:widowControl/>
              <w:adjustRightInd w:val="0"/>
              <w:snapToGrid w:val="0"/>
              <w:rPr>
                <w:rFonts w:ascii="宋体" w:hAnsi="宋体" w:cs="宋体"/>
                <w:sz w:val="22"/>
              </w:rPr>
            </w:pPr>
            <w:r>
              <w:rPr>
                <w:rFonts w:hint="eastAsia" w:ascii="宋体" w:hAnsi="宋体" w:cs="宋体"/>
                <w:sz w:val="22"/>
              </w:rPr>
              <w:t xml:space="preserve">总体评价               </w:t>
            </w:r>
          </w:p>
        </w:tc>
        <w:tc>
          <w:tcPr>
            <w:tcW w:w="6795" w:type="dxa"/>
            <w:gridSpan w:val="4"/>
            <w:tcBorders>
              <w:top w:val="single" w:color="auto" w:sz="4" w:space="0"/>
              <w:left w:val="nil"/>
              <w:bottom w:val="single" w:color="auto" w:sz="4" w:space="0"/>
              <w:right w:val="single" w:color="auto" w:sz="4" w:space="0"/>
            </w:tcBorders>
            <w:vAlign w:val="center"/>
          </w:tcPr>
          <w:p>
            <w:pPr>
              <w:pStyle w:val="26"/>
              <w:widowControl/>
              <w:adjustRightInd w:val="0"/>
              <w:snapToGrid w:val="0"/>
              <w:rPr>
                <w:rFonts w:ascii="宋体" w:hAnsi="宋体" w:cs="宋体"/>
                <w:sz w:val="22"/>
              </w:rPr>
            </w:pPr>
            <w:r>
              <w:rPr>
                <w:rFonts w:hint="eastAsia" w:ascii="宋体" w:hAnsi="宋体" w:cs="宋体"/>
                <w:sz w:val="22"/>
              </w:rPr>
              <w:t>优（  ）      良（  ）      差（  ）</w:t>
            </w:r>
          </w:p>
          <w:p>
            <w:pPr>
              <w:pStyle w:val="26"/>
              <w:widowControl/>
              <w:adjustRightInd w:val="0"/>
              <w:snapToGrid w:val="0"/>
              <w:rPr>
                <w:rFonts w:ascii="宋体" w:hAnsi="宋体" w:cs="宋体"/>
                <w:sz w:val="22"/>
              </w:rPr>
            </w:pPr>
            <w:r>
              <w:rPr>
                <w:rFonts w:hint="eastAsia" w:ascii="宋体" w:hAnsi="宋体" w:cs="宋体"/>
                <w:sz w:val="22"/>
              </w:rPr>
              <w:t>90分以上为优</w:t>
            </w:r>
          </w:p>
          <w:p>
            <w:pPr>
              <w:pStyle w:val="26"/>
              <w:widowControl/>
              <w:adjustRightInd w:val="0"/>
              <w:snapToGrid w:val="0"/>
              <w:rPr>
                <w:rFonts w:ascii="宋体" w:hAnsi="宋体" w:cs="宋体"/>
                <w:sz w:val="22"/>
              </w:rPr>
            </w:pPr>
            <w:r>
              <w:rPr>
                <w:rFonts w:hint="eastAsia" w:ascii="宋体" w:hAnsi="宋体" w:cs="宋体"/>
                <w:sz w:val="22"/>
              </w:rPr>
              <w:t>80分以上为良</w:t>
            </w:r>
          </w:p>
          <w:p>
            <w:pPr>
              <w:pStyle w:val="26"/>
              <w:widowControl/>
              <w:adjustRightInd w:val="0"/>
              <w:snapToGrid w:val="0"/>
              <w:rPr>
                <w:rFonts w:ascii="宋体" w:hAnsi="宋体" w:cs="宋体"/>
                <w:sz w:val="22"/>
              </w:rPr>
            </w:pPr>
            <w:r>
              <w:rPr>
                <w:rFonts w:hint="eastAsia" w:ascii="宋体" w:hAnsi="宋体" w:cs="宋体"/>
                <w:sz w:val="22"/>
              </w:rPr>
              <w:t>80分以下为差</w:t>
            </w:r>
          </w:p>
        </w:tc>
      </w:tr>
      <w:tr>
        <w:tblPrEx>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26"/>
              <w:rPr>
                <w:rFonts w:ascii="宋体" w:hAnsi="宋体" w:cs="宋体"/>
                <w:sz w:val="22"/>
              </w:rPr>
            </w:pPr>
            <w:r>
              <w:rPr>
                <w:rFonts w:hint="eastAsia"/>
                <w:sz w:val="22"/>
              </w:rPr>
              <w:t>考核内容</w:t>
            </w:r>
          </w:p>
        </w:tc>
        <w:tc>
          <w:tcPr>
            <w:tcW w:w="3397" w:type="dxa"/>
            <w:gridSpan w:val="2"/>
            <w:tcBorders>
              <w:top w:val="single" w:color="auto" w:sz="4" w:space="0"/>
              <w:left w:val="nil"/>
              <w:bottom w:val="single" w:color="auto" w:sz="4" w:space="0"/>
              <w:right w:val="single" w:color="auto" w:sz="4" w:space="0"/>
            </w:tcBorders>
            <w:vAlign w:val="center"/>
          </w:tcPr>
          <w:p>
            <w:pPr>
              <w:pStyle w:val="26"/>
              <w:rPr>
                <w:rFonts w:ascii="宋体" w:hAnsi="宋体" w:cs="宋体"/>
                <w:sz w:val="22"/>
              </w:rPr>
            </w:pPr>
            <w:r>
              <w:rPr>
                <w:rFonts w:hint="eastAsia"/>
                <w:sz w:val="22"/>
              </w:rPr>
              <w:t>扣分标准</w:t>
            </w:r>
          </w:p>
        </w:tc>
        <w:tc>
          <w:tcPr>
            <w:tcW w:w="3398" w:type="dxa"/>
            <w:gridSpan w:val="2"/>
            <w:tcBorders>
              <w:top w:val="single" w:color="auto" w:sz="4" w:space="0"/>
              <w:left w:val="nil"/>
              <w:bottom w:val="single" w:color="auto" w:sz="4" w:space="0"/>
              <w:right w:val="single" w:color="auto" w:sz="4" w:space="0"/>
            </w:tcBorders>
            <w:vAlign w:val="center"/>
          </w:tcPr>
          <w:p>
            <w:pPr>
              <w:pStyle w:val="26"/>
              <w:rPr>
                <w:rFonts w:ascii="宋体" w:hAnsi="宋体" w:cs="宋体"/>
                <w:sz w:val="22"/>
              </w:rPr>
            </w:pPr>
            <w:r>
              <w:rPr>
                <w:rFonts w:hint="eastAsia"/>
                <w:sz w:val="22"/>
              </w:rPr>
              <w:t>得分</w:t>
            </w:r>
          </w:p>
        </w:tc>
      </w:tr>
      <w:tr>
        <w:tblPrEx>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28"/>
              <w:ind w:firstLine="0" w:firstLineChars="0"/>
              <w:rPr>
                <w:rFonts w:ascii="Calibri" w:hAnsi="Calibri" w:eastAsia="宋体" w:cs="Times New Roman"/>
                <w:sz w:val="22"/>
              </w:rPr>
            </w:pPr>
            <w:r>
              <w:rPr>
                <w:rFonts w:hint="eastAsia" w:ascii="Calibri" w:hAnsi="Calibri" w:eastAsia="宋体" w:cs="Times New Roman"/>
                <w:sz w:val="22"/>
              </w:rPr>
              <w:t>1、</w:t>
            </w:r>
            <w:r>
              <w:rPr>
                <w:rFonts w:hint="eastAsia" w:ascii="宋体" w:hAnsi="宋体" w:eastAsia="宋体" w:cs="宋体"/>
                <w:sz w:val="22"/>
              </w:rPr>
              <w:t>发生因质量原因造成的商品退货</w:t>
            </w:r>
          </w:p>
        </w:tc>
        <w:tc>
          <w:tcPr>
            <w:tcW w:w="3397" w:type="dxa"/>
            <w:gridSpan w:val="2"/>
            <w:tcBorders>
              <w:top w:val="single" w:color="auto" w:sz="4" w:space="0"/>
              <w:left w:val="nil"/>
              <w:bottom w:val="single" w:color="auto" w:sz="4" w:space="0"/>
              <w:right w:val="single" w:color="auto" w:sz="4" w:space="0"/>
            </w:tcBorders>
            <w:vAlign w:val="center"/>
          </w:tcPr>
          <w:p>
            <w:pPr>
              <w:pStyle w:val="26"/>
              <w:rPr>
                <w:sz w:val="22"/>
              </w:rPr>
            </w:pPr>
            <w:r>
              <w:rPr>
                <w:rFonts w:hint="eastAsia" w:ascii="宋体" w:hAnsi="宋体" w:cs="宋体"/>
                <w:sz w:val="22"/>
              </w:rPr>
              <w:t>总分40分，每发生一次扣20分</w:t>
            </w:r>
          </w:p>
        </w:tc>
        <w:tc>
          <w:tcPr>
            <w:tcW w:w="3398" w:type="dxa"/>
            <w:gridSpan w:val="2"/>
            <w:tcBorders>
              <w:top w:val="single" w:color="auto" w:sz="4" w:space="0"/>
              <w:left w:val="nil"/>
              <w:bottom w:val="single" w:color="auto" w:sz="4" w:space="0"/>
              <w:right w:val="single" w:color="auto" w:sz="4" w:space="0"/>
            </w:tcBorders>
            <w:vAlign w:val="center"/>
          </w:tcPr>
          <w:p>
            <w:pPr>
              <w:pStyle w:val="26"/>
              <w:rPr>
                <w:rFonts w:ascii="宋体" w:hAnsi="宋体" w:cs="宋体"/>
                <w:sz w:val="22"/>
              </w:rPr>
            </w:pPr>
          </w:p>
        </w:tc>
      </w:tr>
      <w:tr>
        <w:tblPrEx>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28"/>
              <w:ind w:firstLine="0" w:firstLineChars="0"/>
              <w:rPr>
                <w:rFonts w:ascii="Calibri" w:hAnsi="Calibri" w:eastAsia="宋体" w:cs="Times New Roman"/>
                <w:sz w:val="22"/>
              </w:rPr>
            </w:pPr>
            <w:r>
              <w:rPr>
                <w:rFonts w:hint="eastAsia" w:ascii="Calibri" w:hAnsi="Calibri" w:eastAsia="宋体" w:cs="Times New Roman"/>
                <w:sz w:val="22"/>
              </w:rPr>
              <w:t>2、对临时增减订货量反馈不及时。</w:t>
            </w:r>
          </w:p>
        </w:tc>
        <w:tc>
          <w:tcPr>
            <w:tcW w:w="3397" w:type="dxa"/>
            <w:gridSpan w:val="2"/>
            <w:tcBorders>
              <w:top w:val="single" w:color="auto" w:sz="4" w:space="0"/>
              <w:left w:val="nil"/>
              <w:bottom w:val="single" w:color="auto" w:sz="4" w:space="0"/>
              <w:right w:val="single" w:color="auto" w:sz="4" w:space="0"/>
            </w:tcBorders>
            <w:vAlign w:val="center"/>
          </w:tcPr>
          <w:p>
            <w:pPr>
              <w:pStyle w:val="26"/>
              <w:rPr>
                <w:sz w:val="22"/>
              </w:rPr>
            </w:pPr>
            <w:r>
              <w:rPr>
                <w:rFonts w:hint="eastAsia" w:ascii="宋体" w:hAnsi="宋体" w:cs="宋体"/>
                <w:sz w:val="22"/>
              </w:rPr>
              <w:t>总分10分，每发生一次扣5分。</w:t>
            </w:r>
          </w:p>
        </w:tc>
        <w:tc>
          <w:tcPr>
            <w:tcW w:w="3398" w:type="dxa"/>
            <w:gridSpan w:val="2"/>
            <w:tcBorders>
              <w:top w:val="single" w:color="auto" w:sz="4" w:space="0"/>
              <w:left w:val="nil"/>
              <w:bottom w:val="single" w:color="auto" w:sz="4" w:space="0"/>
              <w:right w:val="single" w:color="auto" w:sz="4" w:space="0"/>
            </w:tcBorders>
            <w:vAlign w:val="center"/>
          </w:tcPr>
          <w:p>
            <w:pPr>
              <w:pStyle w:val="26"/>
              <w:rPr>
                <w:rFonts w:ascii="宋体" w:hAnsi="宋体" w:cs="宋体"/>
                <w:sz w:val="22"/>
              </w:rPr>
            </w:pPr>
          </w:p>
        </w:tc>
      </w:tr>
      <w:tr>
        <w:tblPrEx>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28"/>
              <w:ind w:firstLine="0" w:firstLineChars="0"/>
              <w:rPr>
                <w:rFonts w:ascii="Calibri" w:hAnsi="Calibri" w:eastAsia="宋体" w:cs="Times New Roman"/>
                <w:sz w:val="22"/>
              </w:rPr>
            </w:pPr>
            <w:r>
              <w:rPr>
                <w:rFonts w:hint="eastAsia" w:ascii="Calibri" w:hAnsi="Calibri" w:eastAsia="宋体" w:cs="Times New Roman"/>
                <w:sz w:val="22"/>
              </w:rPr>
              <w:t>3、逾期交货或交货数量、规格与订货需求不符。</w:t>
            </w:r>
          </w:p>
        </w:tc>
        <w:tc>
          <w:tcPr>
            <w:tcW w:w="3397" w:type="dxa"/>
            <w:gridSpan w:val="2"/>
            <w:tcBorders>
              <w:top w:val="single" w:color="auto" w:sz="4" w:space="0"/>
              <w:left w:val="nil"/>
              <w:bottom w:val="single" w:color="auto" w:sz="4" w:space="0"/>
              <w:right w:val="single" w:color="auto" w:sz="4" w:space="0"/>
            </w:tcBorders>
            <w:vAlign w:val="center"/>
          </w:tcPr>
          <w:p>
            <w:pPr>
              <w:pStyle w:val="26"/>
              <w:rPr>
                <w:sz w:val="22"/>
              </w:rPr>
            </w:pPr>
            <w:r>
              <w:rPr>
                <w:rFonts w:hint="eastAsia" w:ascii="宋体" w:hAnsi="宋体" w:cs="宋体"/>
                <w:sz w:val="22"/>
              </w:rPr>
              <w:t>总分20分，每发生一次扣10分。</w:t>
            </w:r>
          </w:p>
        </w:tc>
        <w:tc>
          <w:tcPr>
            <w:tcW w:w="3398" w:type="dxa"/>
            <w:gridSpan w:val="2"/>
            <w:tcBorders>
              <w:top w:val="single" w:color="auto" w:sz="4" w:space="0"/>
              <w:left w:val="nil"/>
              <w:bottom w:val="single" w:color="auto" w:sz="4" w:space="0"/>
              <w:right w:val="single" w:color="auto" w:sz="4" w:space="0"/>
            </w:tcBorders>
            <w:vAlign w:val="center"/>
          </w:tcPr>
          <w:p>
            <w:pPr>
              <w:pStyle w:val="26"/>
              <w:rPr>
                <w:rFonts w:ascii="宋体" w:hAnsi="宋体" w:cs="宋体"/>
                <w:sz w:val="22"/>
              </w:rPr>
            </w:pPr>
          </w:p>
        </w:tc>
      </w:tr>
      <w:tr>
        <w:tblPrEx>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28"/>
              <w:ind w:firstLine="0" w:firstLineChars="0"/>
              <w:rPr>
                <w:rFonts w:ascii="Calibri" w:hAnsi="Calibri" w:eastAsia="宋体" w:cs="Times New Roman"/>
                <w:sz w:val="22"/>
              </w:rPr>
            </w:pPr>
            <w:r>
              <w:rPr>
                <w:rFonts w:hint="eastAsia" w:ascii="Calibri" w:hAnsi="Calibri" w:eastAsia="宋体" w:cs="Times New Roman"/>
                <w:sz w:val="22"/>
              </w:rPr>
              <w:t>4、对反映的产品质量问题或交货问题，未在下一次订货前完成处理和整改。</w:t>
            </w:r>
          </w:p>
        </w:tc>
        <w:tc>
          <w:tcPr>
            <w:tcW w:w="3397" w:type="dxa"/>
            <w:gridSpan w:val="2"/>
            <w:tcBorders>
              <w:top w:val="single" w:color="auto" w:sz="4" w:space="0"/>
              <w:left w:val="nil"/>
              <w:bottom w:val="single" w:color="auto" w:sz="4" w:space="0"/>
              <w:right w:val="single" w:color="auto" w:sz="4" w:space="0"/>
            </w:tcBorders>
            <w:vAlign w:val="center"/>
          </w:tcPr>
          <w:p>
            <w:pPr>
              <w:pStyle w:val="26"/>
              <w:rPr>
                <w:sz w:val="22"/>
              </w:rPr>
            </w:pPr>
            <w:r>
              <w:rPr>
                <w:rFonts w:hint="eastAsia" w:ascii="宋体" w:hAnsi="宋体" w:cs="宋体"/>
                <w:sz w:val="22"/>
              </w:rPr>
              <w:t>总分20分，每发生一次扣20分。</w:t>
            </w:r>
          </w:p>
        </w:tc>
        <w:tc>
          <w:tcPr>
            <w:tcW w:w="3398" w:type="dxa"/>
            <w:gridSpan w:val="2"/>
            <w:tcBorders>
              <w:top w:val="single" w:color="auto" w:sz="4" w:space="0"/>
              <w:left w:val="nil"/>
              <w:bottom w:val="single" w:color="auto" w:sz="4" w:space="0"/>
              <w:right w:val="single" w:color="auto" w:sz="4" w:space="0"/>
            </w:tcBorders>
            <w:vAlign w:val="center"/>
          </w:tcPr>
          <w:p>
            <w:pPr>
              <w:pStyle w:val="26"/>
              <w:rPr>
                <w:rFonts w:ascii="宋体" w:hAnsi="宋体" w:cs="宋体"/>
                <w:sz w:val="22"/>
              </w:rPr>
            </w:pPr>
          </w:p>
        </w:tc>
      </w:tr>
      <w:tr>
        <w:tblPrEx>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28"/>
              <w:ind w:firstLine="0" w:firstLineChars="0"/>
              <w:rPr>
                <w:rFonts w:ascii="Calibri" w:hAnsi="Calibri" w:eastAsia="宋体" w:cs="Times New Roman"/>
                <w:sz w:val="22"/>
              </w:rPr>
            </w:pPr>
            <w:r>
              <w:rPr>
                <w:rFonts w:hint="eastAsia" w:ascii="Calibri" w:hAnsi="Calibri" w:eastAsia="宋体" w:cs="Times New Roman"/>
                <w:sz w:val="22"/>
              </w:rPr>
              <w:t>5、未能及时解答用户的咨询和要求。</w:t>
            </w:r>
          </w:p>
        </w:tc>
        <w:tc>
          <w:tcPr>
            <w:tcW w:w="3397" w:type="dxa"/>
            <w:gridSpan w:val="2"/>
            <w:tcBorders>
              <w:top w:val="single" w:color="auto" w:sz="4" w:space="0"/>
              <w:left w:val="nil"/>
              <w:bottom w:val="single" w:color="auto" w:sz="4" w:space="0"/>
              <w:right w:val="single" w:color="auto" w:sz="4" w:space="0"/>
            </w:tcBorders>
            <w:vAlign w:val="center"/>
          </w:tcPr>
          <w:p>
            <w:pPr>
              <w:pStyle w:val="26"/>
              <w:rPr>
                <w:sz w:val="22"/>
              </w:rPr>
            </w:pPr>
            <w:r>
              <w:rPr>
                <w:rFonts w:hint="eastAsia" w:ascii="宋体" w:hAnsi="宋体" w:cs="宋体"/>
                <w:sz w:val="22"/>
              </w:rPr>
              <w:t>总分10分，每发生一次扣5分。</w:t>
            </w:r>
          </w:p>
        </w:tc>
        <w:tc>
          <w:tcPr>
            <w:tcW w:w="3398" w:type="dxa"/>
            <w:gridSpan w:val="2"/>
            <w:tcBorders>
              <w:top w:val="single" w:color="auto" w:sz="4" w:space="0"/>
              <w:left w:val="nil"/>
              <w:bottom w:val="single" w:color="auto" w:sz="4" w:space="0"/>
              <w:right w:val="single" w:color="auto" w:sz="4" w:space="0"/>
            </w:tcBorders>
            <w:vAlign w:val="center"/>
          </w:tcPr>
          <w:p>
            <w:pPr>
              <w:pStyle w:val="26"/>
              <w:rPr>
                <w:rFonts w:ascii="宋体" w:hAnsi="宋体" w:cs="宋体"/>
                <w:sz w:val="22"/>
              </w:rPr>
            </w:pPr>
          </w:p>
        </w:tc>
      </w:tr>
      <w:tr>
        <w:tblPrEx>
          <w:tblCellMar>
            <w:top w:w="0" w:type="dxa"/>
            <w:left w:w="108" w:type="dxa"/>
            <w:bottom w:w="0" w:type="dxa"/>
            <w:right w:w="108" w:type="dxa"/>
          </w:tblCellMar>
        </w:tblPrEx>
        <w:trPr>
          <w:trHeight w:val="776" w:hRule="atLeast"/>
        </w:trPr>
        <w:tc>
          <w:tcPr>
            <w:tcW w:w="9510" w:type="dxa"/>
            <w:gridSpan w:val="5"/>
            <w:tcBorders>
              <w:top w:val="single" w:color="auto" w:sz="4" w:space="0"/>
              <w:left w:val="single" w:color="auto" w:sz="4" w:space="0"/>
              <w:bottom w:val="single" w:color="auto" w:sz="4" w:space="0"/>
              <w:right w:val="single" w:color="auto" w:sz="4" w:space="0"/>
            </w:tcBorders>
            <w:vAlign w:val="center"/>
          </w:tcPr>
          <w:p>
            <w:pPr>
              <w:pStyle w:val="26"/>
              <w:widowControl/>
              <w:adjustRightInd w:val="0"/>
              <w:snapToGrid w:val="0"/>
              <w:spacing w:line="360" w:lineRule="auto"/>
              <w:rPr>
                <w:rFonts w:ascii="宋体" w:hAnsi="宋体" w:cs="宋体"/>
                <w:sz w:val="22"/>
              </w:rPr>
            </w:pPr>
            <w:r>
              <w:rPr>
                <w:rFonts w:hint="eastAsia" w:ascii="宋体" w:hAnsi="宋体" w:cs="宋体"/>
                <w:sz w:val="22"/>
              </w:rPr>
              <w:t>考核分数使用：</w:t>
            </w:r>
          </w:p>
          <w:p>
            <w:pPr>
              <w:pStyle w:val="26"/>
              <w:numPr>
                <w:ilvl w:val="0"/>
                <w:numId w:val="3"/>
              </w:numPr>
              <w:adjustRightInd w:val="0"/>
              <w:snapToGrid w:val="0"/>
              <w:spacing w:line="360" w:lineRule="auto"/>
              <w:rPr>
                <w:rFonts w:ascii="宋体" w:hAnsi="宋体" w:cs="宋体"/>
                <w:sz w:val="22"/>
              </w:rPr>
            </w:pPr>
            <w:r>
              <w:rPr>
                <w:rFonts w:hint="eastAsia" w:ascii="宋体" w:hAnsi="宋体" w:cs="宋体"/>
                <w:sz w:val="22"/>
              </w:rPr>
              <w:t>考核单次结果为【良】的，乙方应在接到考核结果通知【10】日内，提交书面整改报告，如逾期未提交，甲方有权扣除全部履约保证金的【10%】。</w:t>
            </w:r>
          </w:p>
          <w:p>
            <w:pPr>
              <w:pStyle w:val="26"/>
              <w:numPr>
                <w:ilvl w:val="0"/>
                <w:numId w:val="3"/>
              </w:numPr>
              <w:adjustRightInd w:val="0"/>
              <w:snapToGrid w:val="0"/>
              <w:spacing w:line="360" w:lineRule="auto"/>
              <w:rPr>
                <w:rFonts w:ascii="宋体" w:hAnsi="宋体" w:cs="宋体"/>
                <w:sz w:val="22"/>
              </w:rPr>
            </w:pPr>
            <w:r>
              <w:rPr>
                <w:rFonts w:hint="eastAsia" w:ascii="宋体" w:hAnsi="宋体" w:cs="宋体"/>
                <w:sz w:val="22"/>
              </w:rPr>
              <w:t>考核结果连续两次为【良】的，甲方有权扣除全部履约保证金的【50%】并解除合同。</w:t>
            </w:r>
          </w:p>
          <w:p>
            <w:pPr>
              <w:pStyle w:val="26"/>
              <w:numPr>
                <w:ilvl w:val="0"/>
                <w:numId w:val="3"/>
              </w:numPr>
              <w:adjustRightInd w:val="0"/>
              <w:snapToGrid w:val="0"/>
              <w:spacing w:line="360" w:lineRule="auto"/>
              <w:rPr>
                <w:rFonts w:ascii="宋体" w:hAnsi="宋体" w:cs="宋体"/>
                <w:sz w:val="22"/>
              </w:rPr>
            </w:pPr>
            <w:r>
              <w:rPr>
                <w:rFonts w:hint="eastAsia" w:ascii="宋体" w:hAnsi="宋体" w:cs="宋体"/>
                <w:sz w:val="22"/>
              </w:rPr>
              <w:t>考核结果单次为【差】的，甲方有权扣除全部履约保证金的【50%】。</w:t>
            </w:r>
          </w:p>
          <w:p>
            <w:pPr>
              <w:pStyle w:val="26"/>
              <w:numPr>
                <w:ilvl w:val="0"/>
                <w:numId w:val="3"/>
              </w:numPr>
              <w:adjustRightInd w:val="0"/>
              <w:snapToGrid w:val="0"/>
              <w:spacing w:line="360" w:lineRule="auto"/>
              <w:rPr>
                <w:rFonts w:ascii="宋体" w:hAnsi="宋体" w:cs="宋体"/>
                <w:sz w:val="22"/>
              </w:rPr>
            </w:pPr>
            <w:r>
              <w:rPr>
                <w:rFonts w:hint="eastAsia" w:ascii="宋体" w:hAnsi="宋体" w:cs="宋体"/>
                <w:sz w:val="22"/>
              </w:rPr>
              <w:t>考核结果连续两次为【差】的，甲方有权扣除全部履约保证金的【100%】并解除合同。</w:t>
            </w:r>
          </w:p>
          <w:p>
            <w:pPr>
              <w:pStyle w:val="26"/>
              <w:numPr>
                <w:ilvl w:val="0"/>
                <w:numId w:val="3"/>
              </w:numPr>
              <w:adjustRightInd w:val="0"/>
              <w:snapToGrid w:val="0"/>
              <w:spacing w:line="360" w:lineRule="auto"/>
              <w:rPr>
                <w:rFonts w:ascii="宋体" w:hAnsi="宋体" w:cs="宋体"/>
                <w:sz w:val="22"/>
              </w:rPr>
            </w:pPr>
            <w:r>
              <w:rPr>
                <w:rFonts w:hint="eastAsia" w:ascii="宋体" w:hAnsi="宋体" w:cs="宋体"/>
                <w:sz w:val="22"/>
              </w:rPr>
              <w:t>考核结果单次为【优】，甲方不扣履约保证金。</w:t>
            </w:r>
          </w:p>
          <w:p>
            <w:pPr>
              <w:pStyle w:val="26"/>
              <w:rPr>
                <w:rFonts w:ascii="宋体" w:hAnsi="宋体" w:cs="宋体"/>
                <w:sz w:val="22"/>
              </w:rPr>
            </w:pPr>
          </w:p>
        </w:tc>
      </w:tr>
    </w:tbl>
    <w:p>
      <w:pPr>
        <w:pStyle w:val="26"/>
        <w:adjustRightInd w:val="0"/>
        <w:snapToGrid w:val="0"/>
        <w:spacing w:line="360" w:lineRule="auto"/>
        <w:rPr>
          <w:rFonts w:ascii="宋体" w:hAnsi="宋体" w:cs="宋体"/>
          <w:b/>
          <w:sz w:val="22"/>
          <w:szCs w:val="21"/>
        </w:rPr>
      </w:pPr>
    </w:p>
    <w:p>
      <w:pPr>
        <w:pStyle w:val="26"/>
        <w:adjustRightInd w:val="0"/>
        <w:snapToGrid w:val="0"/>
        <w:spacing w:line="360" w:lineRule="auto"/>
        <w:rPr>
          <w:rFonts w:ascii="宋体" w:hAnsi="宋体" w:eastAsia="仿宋_GB2312" w:cs="宋体"/>
          <w:b/>
          <w:sz w:val="22"/>
          <w:szCs w:val="21"/>
        </w:rPr>
      </w:pPr>
      <w:r>
        <w:rPr>
          <w:rFonts w:hint="eastAsia" w:ascii="宋体" w:hAnsi="宋体" w:cs="宋体"/>
          <w:b/>
          <w:sz w:val="22"/>
          <w:szCs w:val="21"/>
        </w:rPr>
        <w:t>注：本表由乙方在每次交货完成后，甲方负责对乙方实施评价考核</w:t>
      </w:r>
      <w:r>
        <w:rPr>
          <w:rFonts w:hint="eastAsia" w:ascii="宋体" w:hAnsi="宋体" w:eastAsia="仿宋_GB2312" w:cs="宋体"/>
          <w:b/>
          <w:sz w:val="22"/>
          <w:szCs w:val="21"/>
        </w:rPr>
        <w:t>。</w:t>
      </w:r>
    </w:p>
    <w:p/>
    <w:p/>
    <w:p/>
    <w:p/>
    <w:p/>
    <w:p/>
    <w:p/>
    <w:p/>
    <w:p>
      <w:pPr>
        <w:pStyle w:val="14"/>
        <w:snapToGrid w:val="0"/>
        <w:spacing w:line="360" w:lineRule="exact"/>
        <w:jc w:val="both"/>
        <w:rPr>
          <w:rFonts w:ascii="宋体" w:hAnsi="宋体" w:eastAsiaTheme="minorEastAsia" w:cstheme="minorBidi"/>
          <w:kern w:val="2"/>
          <w:sz w:val="24"/>
          <w:szCs w:val="24"/>
        </w:rPr>
      </w:pPr>
      <w:r>
        <w:rPr>
          <w:rFonts w:hint="eastAsia" w:ascii="宋体" w:hAnsi="宋体" w:eastAsiaTheme="minorEastAsia" w:cstheme="minorBidi"/>
          <w:kern w:val="2"/>
          <w:sz w:val="24"/>
          <w:szCs w:val="24"/>
        </w:rPr>
        <w:t>附件4：</w:t>
      </w:r>
    </w:p>
    <w:p>
      <w:pPr>
        <w:jc w:val="center"/>
        <w:rPr>
          <w:rFonts w:ascii="宋体" w:hAnsi="宋体"/>
          <w:b/>
          <w:bCs/>
        </w:rPr>
      </w:pPr>
      <w:r>
        <w:rPr>
          <w:rFonts w:hint="eastAsia" w:ascii="宋体" w:hAnsi="宋体"/>
          <w:b/>
          <w:bCs/>
        </w:rPr>
        <w:t>投标报价</w:t>
      </w:r>
    </w:p>
    <w:tbl>
      <w:tblPr>
        <w:tblStyle w:val="17"/>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96"/>
        <w:gridCol w:w="960"/>
        <w:gridCol w:w="1148"/>
        <w:gridCol w:w="967"/>
        <w:gridCol w:w="1140"/>
        <w:gridCol w:w="1425"/>
        <w:gridCol w:w="1240"/>
        <w:gridCol w:w="83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1296"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材质</w:t>
            </w: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尺寸（寸）</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年采购预估量（个）</w:t>
            </w:r>
          </w:p>
        </w:tc>
        <w:tc>
          <w:tcPr>
            <w:tcW w:w="967" w:type="dxa"/>
            <w:vAlign w:val="center"/>
          </w:tcPr>
          <w:p>
            <w:pPr>
              <w:pStyle w:val="26"/>
              <w:snapToGrid w:val="0"/>
              <w:jc w:val="center"/>
              <w:rPr>
                <w:rFonts w:ascii="宋体" w:hAnsi="宋体" w:cs="Arial" w:eastAsiaTheme="minorEastAsia"/>
                <w:kern w:val="0"/>
                <w:sz w:val="22"/>
              </w:rPr>
            </w:pPr>
            <w:r>
              <w:rPr>
                <w:rFonts w:hint="eastAsia" w:ascii="宋体" w:hAnsi="宋体"/>
                <w:b/>
                <w:sz w:val="22"/>
              </w:rPr>
              <w:t>含税单价（元）</w:t>
            </w:r>
          </w:p>
        </w:tc>
        <w:tc>
          <w:tcPr>
            <w:tcW w:w="1140" w:type="dxa"/>
            <w:vAlign w:val="center"/>
          </w:tcPr>
          <w:p>
            <w:pPr>
              <w:pStyle w:val="26"/>
              <w:snapToGrid w:val="0"/>
              <w:jc w:val="center"/>
              <w:rPr>
                <w:rFonts w:ascii="宋体" w:hAnsi="宋体" w:cs="Arial" w:eastAsiaTheme="minorEastAsia"/>
                <w:kern w:val="0"/>
                <w:sz w:val="22"/>
              </w:rPr>
            </w:pPr>
            <w:r>
              <w:rPr>
                <w:rFonts w:hint="eastAsia" w:ascii="宋体" w:hAnsi="宋体"/>
                <w:b/>
                <w:sz w:val="22"/>
              </w:rPr>
              <w:t>含税小计（元）</w:t>
            </w:r>
          </w:p>
        </w:tc>
        <w:tc>
          <w:tcPr>
            <w:tcW w:w="1425" w:type="dxa"/>
            <w:vAlign w:val="center"/>
          </w:tcPr>
          <w:p>
            <w:pPr>
              <w:pStyle w:val="26"/>
              <w:snapToGrid w:val="0"/>
              <w:jc w:val="center"/>
              <w:rPr>
                <w:rFonts w:ascii="宋体" w:hAnsi="宋体" w:cs="Arial"/>
                <w:kern w:val="0"/>
                <w:sz w:val="22"/>
              </w:rPr>
            </w:pPr>
            <w:r>
              <w:rPr>
                <w:rFonts w:hint="eastAsia" w:ascii="宋体" w:hAnsi="宋体"/>
                <w:b/>
                <w:sz w:val="22"/>
              </w:rPr>
              <w:t>不含税单价（元）</w:t>
            </w:r>
          </w:p>
        </w:tc>
        <w:tc>
          <w:tcPr>
            <w:tcW w:w="1240" w:type="dxa"/>
            <w:vAlign w:val="center"/>
          </w:tcPr>
          <w:p>
            <w:pPr>
              <w:pStyle w:val="26"/>
              <w:snapToGrid w:val="0"/>
              <w:jc w:val="center"/>
              <w:rPr>
                <w:rFonts w:ascii="宋体" w:hAnsi="宋体" w:cs="Arial"/>
                <w:kern w:val="0"/>
                <w:sz w:val="22"/>
              </w:rPr>
            </w:pPr>
            <w:r>
              <w:rPr>
                <w:rFonts w:hint="eastAsia" w:ascii="宋体" w:hAnsi="宋体"/>
                <w:b/>
                <w:sz w:val="22"/>
              </w:rPr>
              <w:t>不含税小计（元）</w:t>
            </w:r>
          </w:p>
        </w:tc>
        <w:tc>
          <w:tcPr>
            <w:tcW w:w="830" w:type="dxa"/>
            <w:vAlign w:val="center"/>
          </w:tcPr>
          <w:p>
            <w:pPr>
              <w:pStyle w:val="26"/>
              <w:snapToGrid w:val="0"/>
              <w:jc w:val="center"/>
              <w:rPr>
                <w:rFonts w:ascii="宋体" w:hAnsi="宋体" w:cs="Arial"/>
                <w:kern w:val="0"/>
                <w:sz w:val="22"/>
              </w:rPr>
            </w:pPr>
            <w:r>
              <w:rPr>
                <w:rFonts w:hint="eastAsia" w:ascii="宋体" w:hAnsi="宋体"/>
                <w:b/>
                <w:sz w:val="2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w:t>
            </w:r>
          </w:p>
        </w:tc>
        <w:tc>
          <w:tcPr>
            <w:tcW w:w="1296"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牛津帆布万向轮拉杆箱</w:t>
            </w: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3</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4</w:t>
            </w:r>
          </w:p>
        </w:tc>
        <w:tc>
          <w:tcPr>
            <w:tcW w:w="1296"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塑料硬壳万向轮拉杆箱</w:t>
            </w: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5</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1500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1200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6" w:type="dxa"/>
            <w:gridSpan w:val="4"/>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合计</w:t>
            </w:r>
          </w:p>
        </w:tc>
        <w:tc>
          <w:tcPr>
            <w:tcW w:w="2107" w:type="dxa"/>
            <w:gridSpan w:val="2"/>
            <w:vAlign w:val="center"/>
          </w:tcPr>
          <w:p>
            <w:pPr>
              <w:pStyle w:val="26"/>
              <w:snapToGrid w:val="0"/>
              <w:jc w:val="left"/>
              <w:rPr>
                <w:rFonts w:ascii="宋体" w:hAnsi="宋体" w:cs="Arial" w:eastAsiaTheme="minorEastAsia"/>
                <w:kern w:val="0"/>
                <w:sz w:val="22"/>
              </w:rPr>
            </w:pPr>
            <w:r>
              <w:rPr>
                <w:rFonts w:hint="eastAsia" w:ascii="宋体" w:hAnsi="宋体"/>
                <w:bCs/>
                <w:sz w:val="22"/>
              </w:rPr>
              <w:t>含税总计：</w:t>
            </w:r>
          </w:p>
        </w:tc>
        <w:tc>
          <w:tcPr>
            <w:tcW w:w="2665" w:type="dxa"/>
            <w:gridSpan w:val="2"/>
            <w:vAlign w:val="center"/>
          </w:tcPr>
          <w:p>
            <w:pPr>
              <w:pStyle w:val="26"/>
              <w:snapToGrid w:val="0"/>
              <w:jc w:val="left"/>
              <w:rPr>
                <w:rFonts w:ascii="宋体" w:hAnsi="宋体" w:cs="Arial" w:eastAsiaTheme="minorEastAsia"/>
                <w:kern w:val="0"/>
                <w:sz w:val="22"/>
              </w:rPr>
            </w:pPr>
            <w:r>
              <w:rPr>
                <w:rFonts w:hint="eastAsia" w:ascii="宋体" w:hAnsi="宋体"/>
                <w:bCs/>
                <w:sz w:val="22"/>
              </w:rPr>
              <w:t>不含税总计：</w:t>
            </w:r>
          </w:p>
        </w:tc>
        <w:tc>
          <w:tcPr>
            <w:tcW w:w="837" w:type="dxa"/>
            <w:gridSpan w:val="2"/>
            <w:vAlign w:val="center"/>
          </w:tcPr>
          <w:p>
            <w:pPr>
              <w:widowControl/>
              <w:adjustRightInd w:val="0"/>
              <w:snapToGrid w:val="0"/>
              <w:spacing w:line="360" w:lineRule="exact"/>
              <w:jc w:val="center"/>
              <w:rPr>
                <w:rFonts w:ascii="宋体" w:hAnsi="宋体" w:cs="Arial"/>
                <w:kern w:val="0"/>
                <w:sz w:val="22"/>
              </w:rPr>
            </w:pPr>
          </w:p>
        </w:tc>
      </w:tr>
    </w:tbl>
    <w:p>
      <w:pPr>
        <w:jc w:val="center"/>
      </w:pPr>
      <w:r>
        <w:br w:type="page"/>
      </w:r>
    </w:p>
    <w:p>
      <w:pPr>
        <w:pStyle w:val="14"/>
      </w:pPr>
      <w:bookmarkStart w:id="125" w:name="_Toc30985"/>
      <w:bookmarkStart w:id="126" w:name="_Toc18246"/>
      <w:bookmarkStart w:id="127" w:name="_Toc4068"/>
      <w:r>
        <w:t>第</w:t>
      </w:r>
      <w:r>
        <w:rPr>
          <w:rFonts w:hint="eastAsia"/>
        </w:rPr>
        <w:t>五</w:t>
      </w:r>
      <w:r>
        <w:t>章</w:t>
      </w:r>
      <w:r>
        <w:rPr>
          <w:rFonts w:hint="eastAsia"/>
        </w:rPr>
        <w:t xml:space="preserve"> </w:t>
      </w:r>
      <w:r>
        <w:t>评标</w:t>
      </w:r>
      <w:r>
        <w:rPr>
          <w:rFonts w:hint="eastAsia"/>
        </w:rPr>
        <w:t>方法</w:t>
      </w:r>
      <w:r>
        <w:t>及标准</w:t>
      </w:r>
      <w:bookmarkEnd w:id="110"/>
      <w:bookmarkEnd w:id="111"/>
      <w:bookmarkEnd w:id="112"/>
      <w:bookmarkEnd w:id="125"/>
      <w:bookmarkEnd w:id="126"/>
      <w:bookmarkEnd w:id="127"/>
    </w:p>
    <w:p>
      <w:pPr>
        <w:pStyle w:val="5"/>
        <w:spacing w:line="360" w:lineRule="exact"/>
        <w:ind w:firstLine="440" w:firstLineChars="20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w:t>
      </w:r>
      <w:r>
        <w:rPr>
          <w:rFonts w:hint="eastAsia" w:ascii="宋体" w:hAnsi="宋体" w:cs="Calibri"/>
          <w:sz w:val="22"/>
        </w:rPr>
        <w:t>未提供样品或未按照要求提供样品的；</w:t>
      </w:r>
    </w:p>
    <w:p>
      <w:pPr>
        <w:spacing w:line="360" w:lineRule="exact"/>
        <w:ind w:firstLine="470" w:firstLineChars="214"/>
        <w:rPr>
          <w:rFonts w:ascii="宋体" w:hAnsi="宋体" w:cs="Calibri"/>
          <w:sz w:val="22"/>
        </w:rPr>
      </w:pPr>
      <w:r>
        <w:rPr>
          <w:rFonts w:hint="eastAsia" w:ascii="宋体" w:hAnsi="宋体" w:cs="Calibri"/>
          <w:sz w:val="22"/>
        </w:rPr>
        <w:t>10、</w:t>
      </w:r>
      <w:r>
        <w:rPr>
          <w:rFonts w:ascii="宋体" w:hAnsi="宋体" w:cs="Calibri"/>
          <w:sz w:val="22"/>
        </w:rPr>
        <w:t>存在法律、法规、规章规定的其它无效投标情况的</w:t>
      </w:r>
      <w:r>
        <w:rPr>
          <w:rFonts w:hint="eastAsia" w:ascii="宋体" w:hAnsi="宋体" w:cs="Calibri"/>
          <w:sz w:val="22"/>
        </w:rPr>
        <w:t>；</w:t>
      </w:r>
    </w:p>
    <w:p>
      <w:pPr>
        <w:pStyle w:val="12"/>
        <w:spacing w:before="0" w:beforeAutospacing="0" w:after="0" w:afterAutospacing="0" w:line="360" w:lineRule="exact"/>
        <w:ind w:firstLine="440" w:firstLineChars="200"/>
        <w:rPr>
          <w:rFonts w:ascii="宋体" w:hAnsi="宋体" w:cs="Calibri" w:eastAsiaTheme="minorEastAsia"/>
          <w:color w:val="auto"/>
          <w:kern w:val="2"/>
          <w:sz w:val="22"/>
          <w:szCs w:val="22"/>
        </w:rPr>
      </w:pPr>
      <w:r>
        <w:rPr>
          <w:rFonts w:ascii="宋体" w:hAnsi="宋体" w:cs="Calibri" w:eastAsiaTheme="minorEastAsia"/>
          <w:color w:val="auto"/>
          <w:kern w:val="2"/>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2" w:firstLineChars="200"/>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255"/>
          <w:numId w:val="0"/>
        </w:numPr>
        <w:adjustRightInd w:val="0"/>
        <w:spacing w:line="360" w:lineRule="exact"/>
        <w:ind w:left="420" w:leftChars="20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5"/>
        <w:numPr>
          <w:ilvl w:val="255"/>
          <w:numId w:val="0"/>
        </w:numPr>
        <w:adjustRightInd w:val="0"/>
        <w:spacing w:line="360" w:lineRule="exact"/>
        <w:ind w:left="420" w:leftChars="20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如遇税率</w:t>
      </w:r>
      <w:r>
        <w:rPr>
          <w:rFonts w:hAnsi="宋体"/>
          <w:sz w:val="22"/>
          <w:szCs w:val="22"/>
        </w:rPr>
        <w:t>不一致</w:t>
      </w:r>
      <w:r>
        <w:rPr>
          <w:rFonts w:hint="eastAsia" w:hAnsi="宋体"/>
          <w:sz w:val="22"/>
          <w:szCs w:val="22"/>
        </w:rPr>
        <w:t>，则按照不含税价进行评审）。</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6"/>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045"/>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序号</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评分因素及分值权重</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heme="minorEastAsia" w:hAnsiTheme="minorEastAsia"/>
                <w:szCs w:val="21"/>
              </w:rPr>
            </w:pPr>
            <w:r>
              <w:rPr>
                <w:rFonts w:hint="eastAsia" w:asciiTheme="minorEastAsia" w:hAnsiTheme="minorEastAsia"/>
              </w:rPr>
              <w:t>投标人企业规模、综合实力及经营历史</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heme="minorEastAsia" w:hAnsiTheme="minorEastAsia"/>
                <w:szCs w:val="21"/>
              </w:rPr>
            </w:pPr>
            <w:r>
              <w:rPr>
                <w:rFonts w:hint="eastAsia" w:asciiTheme="minorEastAsia" w:hAnsiTheme="minorEastAsia"/>
                <w:szCs w:val="21"/>
              </w:rPr>
              <w:t>根据投标文件阐述及提供的证明材料酌情打分</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heme="minorEastAsia" w:hAnsiTheme="minorEastAsia"/>
              </w:rPr>
            </w:pPr>
            <w:r>
              <w:rPr>
                <w:rFonts w:hint="eastAsia" w:asciiTheme="minorEastAsia" w:hAnsiTheme="minorEastAsia"/>
                <w:color w:val="000000"/>
              </w:rPr>
              <w:t>投标人2016年1月1日至投标</w:t>
            </w:r>
            <w:r>
              <w:rPr>
                <w:rFonts w:asciiTheme="minorEastAsia" w:hAnsiTheme="minorEastAsia"/>
                <w:color w:val="000000"/>
              </w:rPr>
              <w:t>截止日</w:t>
            </w:r>
            <w:r>
              <w:rPr>
                <w:rFonts w:hint="eastAsia" w:asciiTheme="minorEastAsia" w:hAnsiTheme="minorEastAsia"/>
                <w:color w:val="000000"/>
              </w:rPr>
              <w:t>的类似业绩</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heme="minorEastAsia" w:hAnsiTheme="minorEastAsia"/>
                <w:szCs w:val="21"/>
              </w:rPr>
            </w:pPr>
            <w:r>
              <w:rPr>
                <w:rFonts w:hint="eastAsia"/>
                <w:szCs w:val="21"/>
              </w:rPr>
              <w:t>需提供中标通知书或合同复印件并加盖投标人公章作为证明材料，原件备查</w:t>
            </w:r>
            <w:r>
              <w:rPr>
                <w:szCs w:val="21"/>
              </w:rPr>
              <w:t>，每提供1个合同</w:t>
            </w:r>
            <w:r>
              <w:rPr>
                <w:rFonts w:hint="eastAsia"/>
                <w:szCs w:val="21"/>
              </w:rPr>
              <w:t>或证明材料</w:t>
            </w:r>
            <w:r>
              <w:rPr>
                <w:szCs w:val="21"/>
              </w:rPr>
              <w:t>得</w:t>
            </w:r>
            <w:r>
              <w:rPr>
                <w:rFonts w:hint="eastAsia"/>
                <w:szCs w:val="21"/>
              </w:rPr>
              <w:t>1</w:t>
            </w:r>
            <w:r>
              <w:rPr>
                <w:szCs w:val="21"/>
              </w:rPr>
              <w:t>分，最多得</w:t>
            </w:r>
            <w:r>
              <w:rPr>
                <w:rFonts w:hint="eastAsia"/>
                <w:szCs w:val="21"/>
              </w:rPr>
              <w:t>3</w:t>
            </w:r>
            <w:r>
              <w:rPr>
                <w:szCs w:val="21"/>
              </w:rPr>
              <w:t>分。</w:t>
            </w:r>
            <w:r>
              <w:rPr>
                <w:b/>
                <w:szCs w:val="21"/>
              </w:rPr>
              <w:t>（未按招标文件要求提供</w:t>
            </w:r>
            <w:r>
              <w:rPr>
                <w:rFonts w:hint="eastAsia"/>
                <w:b/>
                <w:szCs w:val="21"/>
              </w:rPr>
              <w:t>合同复印件或</w:t>
            </w:r>
            <w:r>
              <w:rPr>
                <w:b/>
                <w:szCs w:val="21"/>
              </w:rPr>
              <w:t>证明材料的，不得分）</w:t>
            </w:r>
            <w:r>
              <w:rPr>
                <w:szCs w:val="21"/>
              </w:rPr>
              <w:t>。</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4045" w:type="dxa"/>
            <w:vAlign w:val="center"/>
          </w:tcPr>
          <w:p>
            <w:pPr>
              <w:snapToGrid w:val="0"/>
              <w:jc w:val="left"/>
              <w:rPr>
                <w:rFonts w:asciiTheme="minorEastAsia" w:hAnsiTheme="minorEastAsia"/>
                <w:szCs w:val="21"/>
              </w:rPr>
            </w:pPr>
            <w:r>
              <w:rPr>
                <w:rFonts w:hint="eastAsia" w:ascii="宋体" w:hAnsi="宋体" w:cs="宋体"/>
                <w:sz w:val="22"/>
              </w:rPr>
              <w:t>拟投产品行李箱的详细说明（需说明原材料品牌、材质、功能及样式等）</w:t>
            </w:r>
          </w:p>
        </w:tc>
        <w:tc>
          <w:tcPr>
            <w:tcW w:w="3119" w:type="dxa"/>
          </w:tcPr>
          <w:p>
            <w:pPr>
              <w:snapToGrid w:val="0"/>
              <w:jc w:val="left"/>
              <w:rPr>
                <w:rFonts w:asciiTheme="minorEastAsia" w:hAnsiTheme="minorEastAsia"/>
                <w:szCs w:val="21"/>
              </w:rPr>
            </w:pPr>
            <w:r>
              <w:rPr>
                <w:rFonts w:hint="eastAsia" w:asciiTheme="minorEastAsia" w:hAnsiTheme="minorEastAsia"/>
                <w:szCs w:val="21"/>
              </w:rPr>
              <w:t>根据投标文件阐述横向比较及提供的样品酌情打分</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4045" w:type="dxa"/>
            <w:vAlign w:val="center"/>
          </w:tcPr>
          <w:p>
            <w:pPr>
              <w:snapToGrid w:val="0"/>
              <w:jc w:val="left"/>
              <w:rPr>
                <w:rFonts w:ascii="宋体" w:hAnsi="宋体" w:cs="宋体"/>
                <w:sz w:val="22"/>
              </w:rPr>
            </w:pPr>
            <w:r>
              <w:rPr>
                <w:rFonts w:hint="eastAsia" w:ascii="宋体" w:hAnsi="宋体" w:cs="宋体"/>
                <w:sz w:val="22"/>
              </w:rPr>
              <w:t>六种行李箱的选型及样品情况</w:t>
            </w:r>
          </w:p>
        </w:tc>
        <w:tc>
          <w:tcPr>
            <w:tcW w:w="3119" w:type="dxa"/>
          </w:tcPr>
          <w:p>
            <w:pPr>
              <w:snapToGrid w:val="0"/>
              <w:jc w:val="left"/>
              <w:rPr>
                <w:rFonts w:asciiTheme="minorEastAsia" w:hAnsiTheme="minorEastAsia"/>
                <w:szCs w:val="21"/>
              </w:rPr>
            </w:pPr>
            <w:r>
              <w:rPr>
                <w:rFonts w:hint="eastAsia" w:asciiTheme="minorEastAsia" w:hAnsiTheme="minorEastAsia"/>
                <w:szCs w:val="21"/>
              </w:rPr>
              <w:t>根据投标文件阐述横向比较及提供的样品酌情打分</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4045" w:type="dxa"/>
            <w:vAlign w:val="center"/>
          </w:tcPr>
          <w:p>
            <w:pPr>
              <w:snapToGrid w:val="0"/>
              <w:jc w:val="left"/>
              <w:rPr>
                <w:rFonts w:ascii="宋体" w:hAnsi="宋体" w:cs="宋体"/>
                <w:sz w:val="22"/>
              </w:rPr>
            </w:pPr>
            <w:r>
              <w:rPr>
                <w:szCs w:val="21"/>
              </w:rPr>
              <w:t>据</w:t>
            </w:r>
            <w:r>
              <w:rPr>
                <w:kern w:val="0"/>
                <w:szCs w:val="21"/>
                <w:lang w:val="zh-CN"/>
              </w:rPr>
              <w:t>投标人管理的规范性（组织制度健全、岗位职责、质量考核办法）</w:t>
            </w:r>
            <w:r>
              <w:rPr>
                <w:szCs w:val="21"/>
              </w:rPr>
              <w:t>横向比较进行打分</w:t>
            </w:r>
          </w:p>
        </w:tc>
        <w:tc>
          <w:tcPr>
            <w:tcW w:w="3119" w:type="dxa"/>
            <w:vAlign w:val="center"/>
          </w:tcPr>
          <w:p>
            <w:pPr>
              <w:snapToGrid w:val="0"/>
              <w:jc w:val="left"/>
              <w:rPr>
                <w:rFonts w:asciiTheme="minorEastAsia" w:hAnsiTheme="minorEastAsia"/>
                <w:szCs w:val="21"/>
              </w:rPr>
            </w:pPr>
            <w:r>
              <w:rPr>
                <w:rFonts w:hint="eastAsia" w:asciiTheme="minorEastAsia" w:hAnsiTheme="minorEastAsia"/>
                <w:szCs w:val="21"/>
              </w:rPr>
              <w:t>根据投标文件阐述横向比较酌情打分</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4045" w:type="dxa"/>
            <w:vAlign w:val="center"/>
          </w:tcPr>
          <w:p>
            <w:pPr>
              <w:snapToGrid w:val="0"/>
              <w:jc w:val="left"/>
              <w:rPr>
                <w:rFonts w:ascii="宋体" w:hAnsi="宋体" w:cs="宋体"/>
                <w:sz w:val="22"/>
              </w:rPr>
            </w:pPr>
            <w:r>
              <w:rPr>
                <w:rFonts w:hint="eastAsia" w:ascii="宋体" w:hAnsi="宋体" w:cs="宋体"/>
                <w:sz w:val="22"/>
              </w:rPr>
              <w:t>供货及配送计划，应急情况处理方案等</w:t>
            </w:r>
          </w:p>
        </w:tc>
        <w:tc>
          <w:tcPr>
            <w:tcW w:w="3119" w:type="dxa"/>
            <w:vAlign w:val="center"/>
          </w:tcPr>
          <w:p>
            <w:pPr>
              <w:snapToGrid w:val="0"/>
              <w:jc w:val="left"/>
              <w:rPr>
                <w:rFonts w:asciiTheme="minorEastAsia" w:hAnsiTheme="minorEastAsia"/>
                <w:szCs w:val="21"/>
              </w:rPr>
            </w:pPr>
            <w:r>
              <w:rPr>
                <w:rFonts w:hint="eastAsia" w:asciiTheme="minorEastAsia" w:hAnsiTheme="minorEastAsia"/>
                <w:szCs w:val="21"/>
              </w:rPr>
              <w:t>根据投标文件阐述横向比较酌情打分</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4045" w:type="dxa"/>
            <w:vAlign w:val="center"/>
          </w:tcPr>
          <w:p>
            <w:pPr>
              <w:snapToGrid w:val="0"/>
              <w:jc w:val="left"/>
              <w:rPr>
                <w:rFonts w:ascii="宋体" w:hAnsi="宋体" w:cs="宋体"/>
                <w:sz w:val="22"/>
              </w:rPr>
            </w:pPr>
            <w:r>
              <w:rPr>
                <w:rFonts w:hint="eastAsia" w:ascii="宋体" w:hAnsi="宋体" w:cs="宋体"/>
                <w:sz w:val="22"/>
              </w:rPr>
              <w:t>质量保障、</w:t>
            </w:r>
            <w:r>
              <w:rPr>
                <w:rFonts w:hint="eastAsia" w:ascii="宋体" w:hAnsi="宋体" w:cs="Calibri"/>
                <w:sz w:val="22"/>
              </w:rPr>
              <w:t>售后服务</w:t>
            </w:r>
            <w:r>
              <w:rPr>
                <w:rFonts w:hint="eastAsia" w:ascii="宋体" w:hAnsi="宋体" w:cs="宋体"/>
                <w:sz w:val="22"/>
              </w:rPr>
              <w:t>的措施及方法</w:t>
            </w:r>
          </w:p>
        </w:tc>
        <w:tc>
          <w:tcPr>
            <w:tcW w:w="3119" w:type="dxa"/>
            <w:vAlign w:val="center"/>
          </w:tcPr>
          <w:p>
            <w:pPr>
              <w:snapToGrid w:val="0"/>
              <w:jc w:val="left"/>
              <w:rPr>
                <w:rFonts w:asciiTheme="minorEastAsia" w:hAnsiTheme="minorEastAsia"/>
                <w:szCs w:val="21"/>
              </w:rPr>
            </w:pPr>
            <w:r>
              <w:rPr>
                <w:rFonts w:hint="eastAsia" w:asciiTheme="minorEastAsia" w:hAnsiTheme="minorEastAsia"/>
                <w:szCs w:val="21"/>
              </w:rPr>
              <w:t>根据投标文件阐述横向比较酌情打分</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0-5分</w:t>
            </w:r>
          </w:p>
        </w:tc>
      </w:tr>
    </w:tbl>
    <w:p>
      <w:pPr>
        <w:pStyle w:val="5"/>
        <w:adjustRightInd w:val="0"/>
        <w:snapToGrid w:val="0"/>
        <w:spacing w:line="360" w:lineRule="exact"/>
        <w:ind w:firstLine="440" w:firstLineChars="200"/>
        <w:rPr>
          <w:rFonts w:hAnsi="宋体" w:cs="Calibri"/>
          <w:sz w:val="22"/>
          <w:szCs w:val="22"/>
        </w:rPr>
      </w:pPr>
    </w:p>
    <w:p>
      <w:pPr>
        <w:pStyle w:val="5"/>
        <w:adjustRightInd w:val="0"/>
        <w:snapToGrid w:val="0"/>
        <w:spacing w:line="360" w:lineRule="exact"/>
        <w:rPr>
          <w:rFonts w:hAnsi="宋体" w:cs="Calibri"/>
          <w:sz w:val="22"/>
          <w:szCs w:val="22"/>
        </w:rPr>
      </w:pPr>
    </w:p>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w:t>
      </w:r>
      <w:r>
        <w:rPr>
          <w:rFonts w:hint="eastAsia" w:hAnsi="宋体" w:cs="Calibri"/>
          <w:sz w:val="22"/>
          <w:szCs w:val="22"/>
        </w:rPr>
        <w:t>四</w:t>
      </w:r>
      <w:r>
        <w:rPr>
          <w:rFonts w:hAnsi="宋体" w:cs="Calibri"/>
          <w:sz w:val="22"/>
          <w:szCs w:val="22"/>
        </w:rPr>
        <w:t>名时，评标委员会</w:t>
      </w:r>
      <w:r>
        <w:rPr>
          <w:rFonts w:hint="eastAsia" w:hAnsi="宋体" w:cs="Calibri"/>
          <w:sz w:val="22"/>
          <w:szCs w:val="22"/>
        </w:rPr>
        <w:t>推荐综合得分前三名为中标候选人（如果得分相同则按投标人报价从低到高顺序推荐为中标候选人，如果投标报价也相同，则抽签决定）。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w:t>
      </w:r>
      <w:r>
        <w:rPr>
          <w:rFonts w:hint="eastAsia" w:hAnsi="宋体" w:cs="Calibri"/>
          <w:sz w:val="22"/>
          <w:szCs w:val="22"/>
        </w:rPr>
        <w:t>小于等于三</w:t>
      </w:r>
      <w:r>
        <w:rPr>
          <w:rFonts w:hAnsi="宋体" w:cs="Calibri"/>
          <w:sz w:val="22"/>
          <w:szCs w:val="22"/>
        </w:rPr>
        <w:t>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招标人将评标委员会推荐的候选人确定为中标人。</w:t>
      </w:r>
      <w:r>
        <w:rPr>
          <w:rFonts w:hint="eastAsia" w:hAnsi="宋体" w:cs="Calibri"/>
          <w:sz w:val="22"/>
          <w:szCs w:val="22"/>
        </w:rPr>
        <w:t>当推荐的</w:t>
      </w:r>
      <w:r>
        <w:rPr>
          <w:rFonts w:hAnsi="宋体" w:cs="Calibri"/>
          <w:sz w:val="22"/>
          <w:szCs w:val="22"/>
        </w:rPr>
        <w:t>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pStyle w:val="14"/>
      </w:pPr>
      <w:r>
        <w:br w:type="page"/>
      </w:r>
      <w:bookmarkEnd w:id="106"/>
      <w:bookmarkStart w:id="128" w:name="_Toc24647"/>
      <w:bookmarkStart w:id="129" w:name="_Toc321925457"/>
      <w:bookmarkStart w:id="130" w:name="_Toc17586"/>
      <w:bookmarkStart w:id="131" w:name="_Toc20784"/>
      <w:r>
        <w:t>第</w:t>
      </w:r>
      <w:r>
        <w:rPr>
          <w:rFonts w:hint="eastAsia"/>
        </w:rPr>
        <w:t>六</w:t>
      </w:r>
      <w:r>
        <w:t>章  投标文件格式</w:t>
      </w:r>
      <w:bookmarkEnd w:id="128"/>
      <w:bookmarkEnd w:id="129"/>
      <w:bookmarkEnd w:id="130"/>
      <w:bookmarkEnd w:id="13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八、货物供货范围（包括设备数量、型号规格、产地、品牌），提供拟投六类行李箱的样品及《样品照片》</w:t>
      </w:r>
    </w:p>
    <w:p>
      <w:pPr>
        <w:adjustRightInd w:val="0"/>
        <w:snapToGrid w:val="0"/>
        <w:spacing w:line="360" w:lineRule="exact"/>
        <w:ind w:firstLine="44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十、主要原材料及部件性能和生产厂家；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十一、产品制造、安装、验收标准和验收方法；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十二、</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十三、关于质量保证期的说明；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十四、优惠条件：投标人承诺给予用户的其他优惠条款，包括付款条件、培训服务、质量保证期等方面的优惠；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十五、</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32" w:name="_Toc171421958"/>
      <w:r>
        <w:rPr>
          <w:rFonts w:cs="Calibri"/>
          <w:color w:val="000000"/>
        </w:rPr>
        <w:t>封面</w:t>
      </w:r>
      <w:bookmarkEnd w:id="13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项目</w:t>
      </w:r>
      <w:r>
        <w:rPr>
          <w:rFonts w:hint="eastAsia" w:ascii="宋体" w:hAnsi="宋体"/>
          <w:sz w:val="22"/>
        </w:rPr>
        <w:t>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4"/>
        </w:numPr>
        <w:tabs>
          <w:tab w:val="left" w:pos="840"/>
        </w:tabs>
        <w:overflowPunct w:val="0"/>
        <w:autoSpaceDE w:val="0"/>
        <w:autoSpaceDN w:val="0"/>
        <w:spacing w:line="440" w:lineRule="exact"/>
        <w:rPr>
          <w:rFonts w:ascii="宋体" w:hAnsi="宋体" w:cs="Times New Roman"/>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含税价：(大写)</w:t>
      </w:r>
      <w:r>
        <w:rPr>
          <w:rFonts w:hint="eastAsia" w:ascii="宋体" w:hAnsi="宋体"/>
          <w:sz w:val="22"/>
          <w:u w:val="single"/>
        </w:rPr>
        <w:t xml:space="preserve">                 /年  </w:t>
      </w:r>
      <w:r>
        <w:rPr>
          <w:rFonts w:hint="eastAsia" w:ascii="宋体" w:hAnsi="宋体"/>
          <w:sz w:val="22"/>
        </w:rPr>
        <w:t>(小写)</w:t>
      </w:r>
      <w:r>
        <w:rPr>
          <w:rFonts w:hint="eastAsia" w:ascii="宋体" w:hAnsi="宋体"/>
          <w:sz w:val="22"/>
          <w:u w:val="single"/>
        </w:rPr>
        <w:t xml:space="preserve">           /年</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不含税价：(大写)</w:t>
      </w:r>
      <w:r>
        <w:rPr>
          <w:rFonts w:hint="eastAsia" w:ascii="宋体" w:hAnsi="宋体"/>
          <w:sz w:val="22"/>
          <w:u w:val="single"/>
        </w:rPr>
        <w:t xml:space="preserve">               /年  </w:t>
      </w:r>
      <w:r>
        <w:rPr>
          <w:rFonts w:hint="eastAsia" w:ascii="宋体" w:hAnsi="宋体"/>
          <w:sz w:val="22"/>
        </w:rPr>
        <w:t>(小写)</w:t>
      </w:r>
      <w:r>
        <w:rPr>
          <w:rFonts w:hint="eastAsia" w:ascii="宋体" w:hAnsi="宋体"/>
          <w:sz w:val="22"/>
          <w:u w:val="single"/>
        </w:rPr>
        <w:t xml:space="preserve">           /年</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税率：</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供货期：收到供货指令后</w:t>
      </w:r>
      <w:r>
        <w:rPr>
          <w:rFonts w:hint="eastAsia" w:ascii="宋体" w:hAnsi="宋体"/>
          <w:sz w:val="22"/>
          <w:u w:val="single"/>
        </w:rPr>
        <w:t xml:space="preserve">     </w:t>
      </w:r>
      <w:r>
        <w:rPr>
          <w:rFonts w:hint="eastAsia" w:ascii="宋体" w:hAnsi="宋体"/>
          <w:sz w:val="22"/>
        </w:rPr>
        <w:t>日历天        投标品牌：</w:t>
      </w:r>
      <w:r>
        <w:rPr>
          <w:rFonts w:hint="eastAsia" w:ascii="宋体" w:hAnsi="宋体"/>
          <w:sz w:val="22"/>
          <w:u w:val="single"/>
        </w:rPr>
        <w:t xml:space="preserve">        </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5"/>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6"/>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numPr>
          <w:ilvl w:val="0"/>
          <w:numId w:val="7"/>
        </w:numPr>
        <w:tabs>
          <w:tab w:val="left" w:pos="840"/>
        </w:tabs>
        <w:overflowPunct w:val="0"/>
        <w:autoSpaceDE w:val="0"/>
        <w:autoSpaceDN w:val="0"/>
        <w:spacing w:line="440" w:lineRule="exact"/>
        <w:rPr>
          <w:rFonts w:ascii="宋体" w:hAnsi="宋体"/>
          <w:sz w:val="22"/>
        </w:rPr>
      </w:pPr>
      <w:r>
        <w:rPr>
          <w:rFonts w:hint="eastAsia" w:ascii="宋体" w:hAnsi="宋体"/>
          <w:sz w:val="22"/>
        </w:rPr>
        <w:t>在合同约定的期限内完成合同规定的全部义务。</w:t>
      </w:r>
    </w:p>
    <w:p>
      <w:pPr>
        <w:numPr>
          <w:ilvl w:val="0"/>
          <w:numId w:val="4"/>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numPr>
          <w:ilvl w:val="0"/>
          <w:numId w:val="8"/>
        </w:numPr>
        <w:tabs>
          <w:tab w:val="left" w:pos="840"/>
          <w:tab w:val="left" w:pos="907"/>
        </w:tabs>
        <w:overflowPunct w:val="0"/>
        <w:autoSpaceDE w:val="0"/>
        <w:autoSpaceDN w:val="0"/>
        <w:spacing w:line="440" w:lineRule="exact"/>
        <w:ind w:left="840" w:hanging="420"/>
        <w:rPr>
          <w:rFonts w:ascii="宋体" w:hAnsi="宋体"/>
          <w:sz w:val="22"/>
        </w:rPr>
      </w:pPr>
      <w:r>
        <w:rPr>
          <w:rFonts w:ascii="宋体" w:hAnsi="宋体"/>
          <w:sz w:val="22"/>
        </w:rPr>
        <w:t>与本招标有关的一切正式往来请发往下列地址：</w:t>
      </w:r>
    </w:p>
    <w:p>
      <w:pPr>
        <w:spacing w:line="440" w:lineRule="exact"/>
        <w:ind w:left="735" w:leftChars="350"/>
        <w:rPr>
          <w:rFonts w:ascii="宋体" w:hAnsi="宋体"/>
          <w:sz w:val="22"/>
        </w:rPr>
      </w:pPr>
      <w:r>
        <w:rPr>
          <w:rFonts w:ascii="宋体" w:hAnsi="宋体"/>
          <w:sz w:val="22"/>
        </w:rPr>
        <w:t>地址：</w:t>
      </w:r>
    </w:p>
    <w:p>
      <w:pPr>
        <w:spacing w:line="440" w:lineRule="exact"/>
        <w:ind w:left="735" w:leftChars="350"/>
        <w:rPr>
          <w:rFonts w:ascii="宋体" w:hAnsi="宋体"/>
          <w:sz w:val="22"/>
        </w:rPr>
      </w:pPr>
      <w:r>
        <w:rPr>
          <w:rFonts w:ascii="宋体" w:hAnsi="宋体"/>
          <w:sz w:val="22"/>
        </w:rPr>
        <w:t>邮编：</w:t>
      </w:r>
    </w:p>
    <w:p>
      <w:pPr>
        <w:spacing w:line="440" w:lineRule="exact"/>
        <w:ind w:left="735" w:leftChars="350"/>
        <w:rPr>
          <w:rFonts w:ascii="宋体" w:hAnsi="宋体"/>
          <w:sz w:val="22"/>
        </w:rPr>
      </w:pPr>
      <w:r>
        <w:rPr>
          <w:rFonts w:ascii="宋体" w:hAnsi="宋体"/>
          <w:sz w:val="22"/>
        </w:rPr>
        <w:t>电话：</w:t>
      </w:r>
    </w:p>
    <w:p>
      <w:pPr>
        <w:spacing w:line="440" w:lineRule="exact"/>
        <w:ind w:left="735" w:leftChars="350"/>
        <w:rPr>
          <w:rFonts w:ascii="宋体" w:hAnsi="宋体"/>
          <w:sz w:val="22"/>
        </w:rPr>
      </w:pPr>
      <w:r>
        <w:rPr>
          <w:rFonts w:ascii="宋体" w:hAnsi="宋体"/>
          <w:sz w:val="22"/>
        </w:rPr>
        <w:t>传真：</w:t>
      </w:r>
    </w:p>
    <w:p>
      <w:pPr>
        <w:overflowPunct w:val="0"/>
        <w:autoSpaceDE w:val="0"/>
        <w:autoSpaceDN w:val="0"/>
        <w:spacing w:line="440" w:lineRule="exact"/>
        <w:ind w:left="839" w:firstLine="3419"/>
        <w:rPr>
          <w:rFonts w:ascii="宋体" w:hAnsi="宋体" w:cs="Arial"/>
          <w:sz w:val="22"/>
        </w:rPr>
      </w:pPr>
      <w:r>
        <w:rPr>
          <w:rFonts w:ascii="宋体" w:hAnsi="宋体" w:cs="Arial"/>
          <w:sz w:val="22"/>
        </w:rPr>
        <w:t>投标人</w:t>
      </w:r>
      <w:r>
        <w:rPr>
          <w:rFonts w:hint="eastAsia" w:ascii="宋体" w:hAnsi="宋体" w:cs="Arial"/>
          <w:sz w:val="22"/>
        </w:rPr>
        <w:t>授权</w:t>
      </w:r>
      <w:r>
        <w:rPr>
          <w:rFonts w:ascii="宋体" w:hAnsi="宋体" w:cs="Arial"/>
          <w:sz w:val="22"/>
        </w:rPr>
        <w:t>代表姓名、职务：</w:t>
      </w:r>
    </w:p>
    <w:p>
      <w:pPr>
        <w:overflowPunct w:val="0"/>
        <w:autoSpaceDE w:val="0"/>
        <w:autoSpaceDN w:val="0"/>
        <w:spacing w:line="440" w:lineRule="exact"/>
        <w:ind w:left="839" w:firstLine="3419"/>
        <w:rPr>
          <w:rFonts w:ascii="宋体" w:hAnsi="宋体" w:cs="Arial"/>
          <w:sz w:val="22"/>
        </w:rPr>
      </w:pPr>
      <w:r>
        <w:rPr>
          <w:rFonts w:ascii="宋体" w:hAnsi="宋体" w:cs="Arial"/>
          <w:sz w:val="22"/>
        </w:rPr>
        <w:t>投标人名称(公章)：</w:t>
      </w:r>
    </w:p>
    <w:p>
      <w:pPr>
        <w:overflowPunct w:val="0"/>
        <w:autoSpaceDE w:val="0"/>
        <w:autoSpaceDN w:val="0"/>
        <w:spacing w:line="440" w:lineRule="exact"/>
        <w:ind w:left="839" w:firstLine="3419"/>
        <w:rPr>
          <w:rFonts w:ascii="宋体" w:hAnsi="宋体" w:cs="Arial"/>
          <w:sz w:val="22"/>
        </w:rPr>
      </w:pPr>
      <w:r>
        <w:rPr>
          <w:rFonts w:hint="eastAsia" w:ascii="宋体" w:hAnsi="宋体" w:cs="Arial"/>
          <w:sz w:val="22"/>
        </w:rPr>
        <w:t>法定代表人或</w:t>
      </w:r>
      <w:r>
        <w:rPr>
          <w:rFonts w:ascii="宋体" w:hAnsi="宋体" w:cs="Arial"/>
          <w:sz w:val="22"/>
        </w:rPr>
        <w:t>授权代表</w:t>
      </w:r>
      <w:r>
        <w:rPr>
          <w:rFonts w:hint="eastAsia" w:ascii="宋体" w:hAnsi="宋体" w:cs="Arial"/>
          <w:sz w:val="22"/>
        </w:rPr>
        <w:t>(</w:t>
      </w:r>
      <w:r>
        <w:rPr>
          <w:rFonts w:hint="eastAsia" w:ascii="宋体" w:hAnsi="宋体" w:cs="宋体"/>
          <w:sz w:val="22"/>
        </w:rPr>
        <w:t>签字或盖章)</w:t>
      </w:r>
      <w:r>
        <w:rPr>
          <w:rFonts w:ascii="宋体" w:hAnsi="宋体" w:cs="Arial"/>
          <w:sz w:val="22"/>
        </w:rPr>
        <w:t>：</w:t>
      </w:r>
    </w:p>
    <w:p>
      <w:pPr>
        <w:overflowPunct w:val="0"/>
        <w:autoSpaceDE w:val="0"/>
        <w:autoSpaceDN w:val="0"/>
        <w:spacing w:line="440" w:lineRule="exact"/>
        <w:ind w:left="839" w:firstLine="3419"/>
        <w:rPr>
          <w:rFonts w:ascii="宋体" w:hAnsi="宋体" w:cs="Arial"/>
          <w:sz w:val="22"/>
        </w:rPr>
      </w:pPr>
      <w:r>
        <w:rPr>
          <w:rFonts w:ascii="宋体" w:hAnsi="宋体" w:cs="Arial"/>
          <w:sz w:val="22"/>
        </w:rPr>
        <w:t>日        期：</w:t>
      </w:r>
    </w:p>
    <w:p>
      <w:pPr>
        <w:adjustRightInd w:val="0"/>
        <w:snapToGrid w:val="0"/>
        <w:jc w:val="center"/>
        <w:rPr>
          <w:rFonts w:eastAsia="黑体" w:cs="Calibri"/>
          <w:color w:val="000000"/>
          <w:sz w:val="32"/>
          <w:szCs w:val="32"/>
        </w:rPr>
      </w:pPr>
      <w:r>
        <w:rPr>
          <w:rFonts w:ascii="宋体" w:hAnsi="宋体" w:cs="Arial"/>
          <w:sz w:val="22"/>
        </w:rPr>
        <w:br w:type="page"/>
      </w:r>
      <w:bookmarkStart w:id="133" w:name="_Toc133214309"/>
      <w:bookmarkStart w:id="134" w:name="_Toc133214102"/>
      <w:bookmarkStart w:id="135" w:name="_Toc144265958"/>
      <w:bookmarkStart w:id="136" w:name="_Toc137373398"/>
      <w:bookmarkStart w:id="137" w:name="_Toc133470542"/>
      <w:r>
        <w:rPr>
          <w:rFonts w:hint="eastAsia" w:ascii="Cambria" w:hAnsi="Cambria" w:eastAsia="黑体" w:cs="Calibri"/>
          <w:color w:val="000000"/>
          <w:sz w:val="32"/>
          <w:szCs w:val="32"/>
          <w:lang w:bidi="ar"/>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hint="eastAsia" w:ascii="Cambria" w:hAnsi="Cambria" w:eastAsia="宋体" w:cs="Calibri"/>
          <w:color w:val="000000"/>
          <w:sz w:val="22"/>
          <w:lang w:bidi="ar"/>
        </w:rPr>
        <w:t>投标人名称：</w:t>
      </w:r>
      <w:r>
        <w:rPr>
          <w:rFonts w:ascii="Cambria" w:hAnsi="Cambria" w:eastAsia="宋体" w:cs="Calibri"/>
          <w:color w:val="000000"/>
          <w:sz w:val="22"/>
          <w:u w:val="single"/>
          <w:lang w:bidi="ar"/>
        </w:rPr>
        <w:t xml:space="preserve">                                  </w:t>
      </w:r>
    </w:p>
    <w:p>
      <w:pPr>
        <w:spacing w:after="120" w:afterLines="50" w:line="440" w:lineRule="exact"/>
        <w:rPr>
          <w:rFonts w:cs="Calibri"/>
          <w:color w:val="000000"/>
          <w:sz w:val="22"/>
          <w:u w:val="single"/>
        </w:rPr>
      </w:pPr>
      <w:r>
        <w:rPr>
          <w:rFonts w:hint="eastAsia" w:ascii="Cambria" w:hAnsi="Cambria" w:eastAsia="宋体" w:cs="Calibri"/>
          <w:color w:val="000000"/>
          <w:sz w:val="22"/>
          <w:lang w:bidi="ar"/>
        </w:rPr>
        <w:t>单位性质：</w:t>
      </w:r>
      <w:r>
        <w:rPr>
          <w:rFonts w:ascii="Cambria" w:hAnsi="Cambria" w:eastAsia="宋体" w:cs="Calibri"/>
          <w:color w:val="000000"/>
          <w:sz w:val="22"/>
          <w:u w:val="single"/>
          <w:lang w:bidi="ar"/>
        </w:rPr>
        <w:t xml:space="preserve">                                    </w:t>
      </w:r>
    </w:p>
    <w:p>
      <w:pPr>
        <w:spacing w:after="120" w:afterLines="50" w:line="440" w:lineRule="exact"/>
        <w:rPr>
          <w:rFonts w:cs="Calibri"/>
          <w:color w:val="000000"/>
          <w:sz w:val="22"/>
          <w:u w:val="single"/>
        </w:rPr>
      </w:pPr>
      <w:r>
        <w:rPr>
          <w:rFonts w:hint="eastAsia" w:ascii="Cambria" w:hAnsi="Cambria" w:eastAsia="宋体" w:cs="Calibri"/>
          <w:color w:val="000000"/>
          <w:sz w:val="22"/>
          <w:lang w:bidi="ar"/>
        </w:rPr>
        <w:t>地址：</w:t>
      </w:r>
      <w:r>
        <w:rPr>
          <w:rFonts w:ascii="Cambria" w:hAnsi="Cambria" w:eastAsia="宋体" w:cs="Calibri"/>
          <w:color w:val="000000"/>
          <w:sz w:val="22"/>
          <w:u w:val="single"/>
          <w:lang w:bidi="ar"/>
        </w:rPr>
        <w:t xml:space="preserve">                                        </w:t>
      </w:r>
    </w:p>
    <w:p>
      <w:pPr>
        <w:spacing w:after="120" w:afterLines="50" w:line="440" w:lineRule="exact"/>
        <w:rPr>
          <w:rFonts w:cs="Calibri"/>
          <w:color w:val="000000"/>
          <w:sz w:val="22"/>
          <w:u w:val="single"/>
        </w:rPr>
      </w:pPr>
      <w:r>
        <w:rPr>
          <w:rFonts w:hint="eastAsia" w:ascii="Cambria" w:hAnsi="Cambria" w:eastAsia="宋体" w:cs="Calibri"/>
          <w:color w:val="000000"/>
          <w:sz w:val="22"/>
          <w:lang w:bidi="ar"/>
        </w:rPr>
        <w:t>成立时间：</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年</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月</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日</w:t>
      </w:r>
    </w:p>
    <w:p>
      <w:pPr>
        <w:spacing w:after="120" w:afterLines="50" w:line="440" w:lineRule="exact"/>
        <w:rPr>
          <w:rFonts w:cs="Calibri"/>
          <w:color w:val="000000"/>
          <w:sz w:val="22"/>
          <w:u w:val="single"/>
        </w:rPr>
      </w:pPr>
      <w:r>
        <w:rPr>
          <w:rFonts w:hint="eastAsia" w:ascii="Cambria" w:hAnsi="Cambria" w:eastAsia="宋体" w:cs="Calibri"/>
          <w:color w:val="000000"/>
          <w:sz w:val="22"/>
          <w:lang w:bidi="ar"/>
        </w:rPr>
        <w:t>经营期限：</w:t>
      </w:r>
      <w:r>
        <w:rPr>
          <w:rFonts w:ascii="Cambria" w:hAnsi="Cambria" w:eastAsia="宋体" w:cs="Calibri"/>
          <w:color w:val="000000"/>
          <w:sz w:val="22"/>
          <w:u w:val="single"/>
          <w:lang w:bidi="ar"/>
        </w:rPr>
        <w:t xml:space="preserve">                                     </w:t>
      </w:r>
    </w:p>
    <w:p>
      <w:pPr>
        <w:spacing w:after="120" w:afterLines="50" w:line="440" w:lineRule="exact"/>
        <w:rPr>
          <w:rFonts w:cs="Calibri"/>
          <w:color w:val="000000"/>
          <w:sz w:val="22"/>
          <w:u w:val="single"/>
        </w:rPr>
      </w:pPr>
      <w:r>
        <w:rPr>
          <w:rFonts w:hint="eastAsia" w:ascii="Cambria" w:hAnsi="Cambria" w:eastAsia="宋体" w:cs="Calibri"/>
          <w:color w:val="000000"/>
          <w:sz w:val="22"/>
          <w:lang w:bidi="ar"/>
        </w:rPr>
        <w:t>姓名：</w:t>
      </w:r>
      <w:r>
        <w:rPr>
          <w:rFonts w:ascii="Cambria" w:hAnsi="Cambria" w:eastAsia="宋体" w:cs="Calibri"/>
          <w:color w:val="000000"/>
          <w:sz w:val="22"/>
          <w:u w:val="single"/>
          <w:lang w:bidi="ar"/>
        </w:rPr>
        <w:t xml:space="preserve">         </w:t>
      </w:r>
      <w:r>
        <w:rPr>
          <w:rFonts w:ascii="Cambria" w:hAnsi="Cambria" w:eastAsia="宋体" w:cs="Calibri"/>
          <w:color w:val="000000"/>
          <w:sz w:val="22"/>
          <w:lang w:bidi="ar"/>
        </w:rPr>
        <w:t xml:space="preserve">  </w:t>
      </w:r>
      <w:r>
        <w:rPr>
          <w:rFonts w:hint="eastAsia" w:ascii="Cambria" w:hAnsi="Cambria" w:eastAsia="宋体" w:cs="Calibri"/>
          <w:color w:val="000000"/>
          <w:sz w:val="22"/>
          <w:lang w:bidi="ar"/>
        </w:rPr>
        <w:t>性别：</w:t>
      </w:r>
      <w:r>
        <w:rPr>
          <w:rFonts w:ascii="Cambria" w:hAnsi="Cambria" w:eastAsia="宋体" w:cs="Calibri"/>
          <w:color w:val="000000"/>
          <w:sz w:val="22"/>
          <w:u w:val="single"/>
          <w:lang w:bidi="ar"/>
        </w:rPr>
        <w:t xml:space="preserve">         </w:t>
      </w:r>
      <w:r>
        <w:rPr>
          <w:rFonts w:ascii="Cambria" w:hAnsi="Cambria" w:eastAsia="宋体" w:cs="Calibri"/>
          <w:color w:val="000000"/>
          <w:sz w:val="22"/>
          <w:lang w:bidi="ar"/>
        </w:rPr>
        <w:t xml:space="preserve">  </w:t>
      </w:r>
      <w:r>
        <w:rPr>
          <w:rFonts w:hint="eastAsia" w:ascii="Cambria" w:hAnsi="Cambria" w:eastAsia="宋体" w:cs="Calibri"/>
          <w:color w:val="000000"/>
          <w:sz w:val="22"/>
          <w:lang w:bidi="ar"/>
        </w:rPr>
        <w:t>年龄：</w:t>
      </w:r>
      <w:r>
        <w:rPr>
          <w:rFonts w:ascii="Cambria" w:hAnsi="Cambria" w:eastAsia="宋体" w:cs="Calibri"/>
          <w:color w:val="000000"/>
          <w:sz w:val="22"/>
          <w:u w:val="single"/>
          <w:lang w:bidi="ar"/>
        </w:rPr>
        <w:t xml:space="preserve">         </w:t>
      </w:r>
      <w:r>
        <w:rPr>
          <w:rFonts w:ascii="Cambria" w:hAnsi="Cambria" w:eastAsia="宋体" w:cs="Calibri"/>
          <w:color w:val="000000"/>
          <w:sz w:val="22"/>
          <w:lang w:bidi="ar"/>
        </w:rPr>
        <w:t xml:space="preserve">  </w:t>
      </w:r>
      <w:r>
        <w:rPr>
          <w:rFonts w:hint="eastAsia" w:ascii="Cambria" w:hAnsi="Cambria" w:eastAsia="宋体" w:cs="Calibri"/>
          <w:color w:val="000000"/>
          <w:sz w:val="22"/>
          <w:lang w:bidi="ar"/>
        </w:rPr>
        <w:t>职务：</w:t>
      </w:r>
      <w:r>
        <w:rPr>
          <w:rFonts w:ascii="Cambria" w:hAnsi="Cambria" w:eastAsia="宋体" w:cs="Calibri"/>
          <w:color w:val="000000"/>
          <w:sz w:val="22"/>
          <w:u w:val="single"/>
          <w:lang w:bidi="ar"/>
        </w:rPr>
        <w:t xml:space="preserve">         </w:t>
      </w:r>
      <w:r>
        <w:rPr>
          <w:rFonts w:ascii="Cambria" w:hAnsi="Cambria" w:eastAsia="宋体" w:cs="Calibri"/>
          <w:color w:val="000000"/>
          <w:sz w:val="22"/>
          <w:lang w:bidi="ar"/>
        </w:rPr>
        <w:t xml:space="preserve">  </w:t>
      </w:r>
    </w:p>
    <w:p>
      <w:pPr>
        <w:spacing w:after="120" w:afterLines="50" w:line="440" w:lineRule="exact"/>
        <w:rPr>
          <w:rFonts w:cs="Calibri"/>
          <w:color w:val="000000"/>
          <w:sz w:val="22"/>
          <w:u w:val="single"/>
        </w:rPr>
      </w:pPr>
      <w:r>
        <w:rPr>
          <w:rFonts w:hint="eastAsia" w:ascii="Cambria" w:hAnsi="Cambria" w:eastAsia="宋体" w:cs="Calibri"/>
          <w:color w:val="000000"/>
          <w:sz w:val="22"/>
          <w:lang w:bidi="ar"/>
        </w:rPr>
        <w:t>身份证号码：</w:t>
      </w:r>
      <w:r>
        <w:rPr>
          <w:rFonts w:ascii="Cambria" w:hAnsi="Cambria" w:eastAsia="宋体" w:cs="Calibri"/>
          <w:color w:val="000000"/>
          <w:sz w:val="22"/>
          <w:u w:val="single"/>
          <w:lang w:bidi="ar"/>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ascii="Cambria" w:hAnsi="Cambria" w:eastAsia="宋体" w:cs="Calibri"/>
          <w:color w:val="000000"/>
          <w:sz w:val="22"/>
          <w:lang w:bidi="ar"/>
        </w:rPr>
        <w:t xml:space="preserve">    </w:t>
      </w:r>
      <w:r>
        <w:rPr>
          <w:rFonts w:hint="eastAsia" w:ascii="Cambria" w:hAnsi="Cambria" w:eastAsia="宋体" w:cs="Calibri"/>
          <w:color w:val="000000"/>
          <w:sz w:val="22"/>
          <w:lang w:bidi="ar"/>
        </w:rPr>
        <w:t>系</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hint="eastAsia" w:ascii="Cambria" w:hAnsi="Cambria" w:eastAsia="宋体" w:cs="Calibri"/>
          <w:color w:val="000000"/>
          <w:sz w:val="22"/>
          <w:lang w:bidi="ar"/>
        </w:rPr>
        <w:t>特此证明。</w:t>
      </w:r>
    </w:p>
    <w:p>
      <w:pPr>
        <w:spacing w:line="440" w:lineRule="exact"/>
        <w:rPr>
          <w:rFonts w:cs="Calibri"/>
          <w:color w:val="000000"/>
          <w:sz w:val="22"/>
        </w:rPr>
      </w:pPr>
      <w:r>
        <w:rPr>
          <w:rFonts w:hint="eastAsia" w:ascii="Cambria" w:hAnsi="Cambria" w:eastAsia="宋体" w:cs="Calibri"/>
          <w:color w:val="000000"/>
          <w:sz w:val="22"/>
          <w:lang w:bidi="ar"/>
        </w:rPr>
        <w:t>附：法定代表人身份证复印件</w:t>
      </w:r>
    </w:p>
    <w:p>
      <w:pPr>
        <w:spacing w:line="440" w:lineRule="exact"/>
        <w:rPr>
          <w:rFonts w:cs="Calibri"/>
          <w:color w:val="000000"/>
          <w:sz w:val="22"/>
        </w:rPr>
      </w:pPr>
      <w:r>
        <w:rPr>
          <w:rFonts w:hint="eastAsia" w:ascii="Cambria" w:hAnsi="Cambria" w:eastAsia="宋体" w:cs="Calibri"/>
          <w:color w:val="000000"/>
          <w:sz w:val="22"/>
          <w:lang w:bidi="ar"/>
        </w:rPr>
        <w:t>投标人：（盖单位章）</w:t>
      </w:r>
      <w:r>
        <w:rPr>
          <w:rFonts w:ascii="Cambria" w:hAnsi="Cambria" w:eastAsia="宋体" w:cs="Calibri"/>
          <w:color w:val="000000"/>
          <w:sz w:val="22"/>
          <w:lang w:bidi="ar"/>
        </w:rPr>
        <w:t xml:space="preserve"> </w:t>
      </w:r>
    </w:p>
    <w:p>
      <w:pPr>
        <w:spacing w:line="440" w:lineRule="exact"/>
        <w:ind w:firstLine="5364" w:firstLineChars="2235"/>
        <w:rPr>
          <w:rFonts w:cs="Calibri"/>
          <w:b/>
          <w:color w:val="000000"/>
          <w:sz w:val="22"/>
        </w:rPr>
      </w:pPr>
      <w:r>
        <w:rPr>
          <w:rFonts w:ascii="Cambria" w:hAnsi="Cambria"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ascii="Cambria" w:hAnsi="Cambria" w:eastAsia="宋体" w:cs="宋体"/>
                                <w:sz w:val="24"/>
                                <w:szCs w:val="21"/>
                                <w:lang w:bidi="ar"/>
                              </w:rPr>
                              <w:t>法定代表人身份证复印件粘贴处（正、反面）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ascii="Cambria" w:hAnsi="Cambria" w:eastAsia="宋体" w:cs="宋体"/>
                          <w:sz w:val="24"/>
                          <w:szCs w:val="21"/>
                          <w:lang w:bidi="ar"/>
                        </w:rPr>
                        <w:t>法定代表人身份证复印件粘贴处（正、反面）</w:t>
                      </w:r>
                    </w:p>
                  </w:txbxContent>
                </v:textbox>
                <w10:wrap type="square"/>
              </v:shape>
            </w:pict>
          </mc:Fallback>
        </mc:AlternateContent>
      </w:r>
      <w:r>
        <w:rPr>
          <w:rFonts w:hint="eastAsia" w:ascii="Cambria" w:hAnsi="Cambria" w:eastAsia="宋体" w:cs="Calibri"/>
          <w:color w:val="000000"/>
          <w:sz w:val="22"/>
        </w:rPr>
        <w:t>日期：</w:t>
      </w:r>
      <w:r>
        <w:rPr>
          <w:rFonts w:cs="Calibri"/>
          <w:color w:val="000000"/>
          <w:sz w:val="22"/>
        </w:rPr>
        <w:t xml:space="preserve">   </w:t>
      </w:r>
      <w:r>
        <w:rPr>
          <w:rFonts w:hint="eastAsia" w:ascii="Cambria" w:hAnsi="Cambria" w:eastAsia="宋体" w:cs="Calibri"/>
          <w:color w:val="000000"/>
          <w:sz w:val="22"/>
        </w:rPr>
        <w:t>年</w:t>
      </w:r>
      <w:r>
        <w:rPr>
          <w:rFonts w:cs="Calibri"/>
          <w:color w:val="000000"/>
          <w:sz w:val="22"/>
        </w:rPr>
        <w:t xml:space="preserve">    </w:t>
      </w:r>
      <w:r>
        <w:rPr>
          <w:rFonts w:hint="eastAsia" w:ascii="Cambria" w:hAnsi="Cambria" w:eastAsia="宋体" w:cs="Calibri"/>
          <w:color w:val="000000"/>
          <w:sz w:val="22"/>
        </w:rPr>
        <w:t>月</w:t>
      </w:r>
      <w:r>
        <w:rPr>
          <w:rFonts w:cs="Calibri"/>
          <w:color w:val="000000"/>
          <w:sz w:val="22"/>
        </w:rPr>
        <w:t xml:space="preserve">    </w:t>
      </w:r>
      <w:r>
        <w:rPr>
          <w:rFonts w:hint="eastAsia" w:ascii="Cambria" w:hAnsi="Cambria" w:eastAsia="宋体" w:cs="Calibri"/>
          <w:color w:val="000000"/>
          <w:sz w:val="22"/>
        </w:rPr>
        <w:t>日</w:t>
      </w:r>
    </w:p>
    <w:p>
      <w:pPr>
        <w:spacing w:line="440" w:lineRule="exact"/>
        <w:jc w:val="center"/>
        <w:rPr>
          <w:rFonts w:eastAsia="黑体" w:cs="Calibri"/>
          <w:color w:val="000000"/>
          <w:szCs w:val="28"/>
        </w:rPr>
      </w:pPr>
      <w:r>
        <w:rPr>
          <w:rFonts w:ascii="Cambria" w:hAnsi="Cambria" w:eastAsia="宋体" w:cs="Calibri"/>
          <w:color w:val="000000"/>
          <w:sz w:val="24"/>
          <w:szCs w:val="21"/>
          <w:lang w:bidi="ar"/>
        </w:rPr>
        <w:br w:type="page"/>
      </w:r>
      <w:r>
        <w:rPr>
          <w:rFonts w:hint="eastAsia" w:ascii="Cambria" w:hAnsi="Cambria" w:eastAsia="黑体" w:cs="Calibri"/>
          <w:color w:val="000000"/>
          <w:sz w:val="32"/>
          <w:szCs w:val="32"/>
          <w:lang w:bidi="ar"/>
        </w:rPr>
        <w:t>三、授权委托书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hint="eastAsia" w:ascii="Cambria" w:hAnsi="Cambria" w:eastAsia="宋体" w:cs="Calibri"/>
          <w:color w:val="000000"/>
          <w:sz w:val="22"/>
          <w:lang w:bidi="ar"/>
        </w:rPr>
        <w:t>本人</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（姓名）系</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（投标人名称）的法定代表人，现委托</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（姓名）为我方代理人。代理人根据授权，以我方名义签署、澄清、说明、补正、递交、撤回、修改</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（项目名称）投标文件、签订合同和处理有关事宜，其法律后果由我方承担。</w:t>
      </w:r>
    </w:p>
    <w:p>
      <w:pPr>
        <w:spacing w:line="440" w:lineRule="exact"/>
        <w:ind w:firstLine="440" w:firstLineChars="200"/>
        <w:rPr>
          <w:rFonts w:cs="Calibri"/>
          <w:color w:val="000000"/>
          <w:sz w:val="22"/>
        </w:rPr>
      </w:pPr>
      <w:r>
        <w:rPr>
          <w:rFonts w:hint="eastAsia" w:ascii="Cambria" w:hAnsi="Cambria" w:eastAsia="宋体" w:cs="Calibri"/>
          <w:color w:val="000000"/>
          <w:sz w:val="22"/>
          <w:lang w:bidi="ar"/>
        </w:rPr>
        <w:t>代理人无转委托权。</w:t>
      </w:r>
    </w:p>
    <w:p>
      <w:pPr>
        <w:spacing w:line="440" w:lineRule="exact"/>
        <w:ind w:firstLine="440" w:firstLineChars="200"/>
        <w:rPr>
          <w:rFonts w:cs="Calibri"/>
          <w:color w:val="000000"/>
          <w:sz w:val="22"/>
        </w:rPr>
      </w:pPr>
      <w:r>
        <w:rPr>
          <w:rFonts w:hint="eastAsia" w:ascii="Cambria" w:hAnsi="Cambria" w:eastAsia="宋体" w:cs="Calibri"/>
          <w:color w:val="000000"/>
          <w:sz w:val="22"/>
          <w:lang w:bidi="ar"/>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hint="eastAsia" w:ascii="Cambria" w:hAnsi="Cambria" w:eastAsia="宋体" w:cs="Calibri"/>
          <w:color w:val="000000"/>
          <w:sz w:val="22"/>
          <w:lang w:bidi="ar"/>
        </w:rPr>
        <w:t>投标人：（盖单位章）</w:t>
      </w:r>
    </w:p>
    <w:p>
      <w:pPr>
        <w:spacing w:line="440" w:lineRule="exact"/>
        <w:rPr>
          <w:rFonts w:cs="Calibri"/>
          <w:color w:val="000000"/>
          <w:sz w:val="22"/>
        </w:rPr>
      </w:pPr>
      <w:r>
        <w:rPr>
          <w:rFonts w:hint="eastAsia" w:ascii="Cambria" w:hAnsi="Cambria" w:eastAsia="宋体" w:cs="Calibri"/>
          <w:color w:val="000000"/>
          <w:sz w:val="22"/>
          <w:lang w:bidi="ar"/>
        </w:rPr>
        <w:t>法定代表人：（签字或盖章）</w:t>
      </w:r>
    </w:p>
    <w:p>
      <w:pPr>
        <w:spacing w:line="440" w:lineRule="exact"/>
        <w:rPr>
          <w:rFonts w:cs="Calibri"/>
          <w:color w:val="000000"/>
          <w:sz w:val="22"/>
        </w:rPr>
      </w:pPr>
      <w:r>
        <w:rPr>
          <w:rFonts w:hint="eastAsia" w:ascii="Cambria" w:hAnsi="Cambria" w:eastAsia="宋体" w:cs="Calibri"/>
          <w:color w:val="000000"/>
          <w:sz w:val="22"/>
          <w:lang w:bidi="ar"/>
        </w:rPr>
        <w:t>身份证号码：</w:t>
      </w:r>
    </w:p>
    <w:p>
      <w:pPr>
        <w:spacing w:line="440" w:lineRule="exact"/>
        <w:rPr>
          <w:rFonts w:cs="Calibri"/>
          <w:color w:val="000000"/>
          <w:sz w:val="22"/>
        </w:rPr>
      </w:pPr>
    </w:p>
    <w:p>
      <w:pPr>
        <w:spacing w:line="440" w:lineRule="exact"/>
        <w:rPr>
          <w:rFonts w:cs="Calibri"/>
          <w:color w:val="000000"/>
          <w:sz w:val="22"/>
        </w:rPr>
      </w:pPr>
      <w:r>
        <w:rPr>
          <w:rFonts w:hint="eastAsia" w:ascii="Cambria" w:hAnsi="Cambria" w:eastAsia="宋体" w:cs="Calibri"/>
          <w:color w:val="000000"/>
          <w:sz w:val="22"/>
          <w:lang w:bidi="ar"/>
        </w:rPr>
        <w:t>委托的代理人：（签字或盖章）</w:t>
      </w:r>
    </w:p>
    <w:p>
      <w:pPr>
        <w:spacing w:line="440" w:lineRule="exact"/>
        <w:rPr>
          <w:rFonts w:cs="Calibri"/>
          <w:color w:val="000000"/>
          <w:sz w:val="22"/>
        </w:rPr>
      </w:pPr>
      <w:r>
        <w:rPr>
          <w:rFonts w:hint="eastAsia" w:ascii="Cambria" w:hAnsi="Cambria" w:eastAsia="宋体" w:cs="Calibri"/>
          <w:color w:val="000000"/>
          <w:sz w:val="22"/>
          <w:lang w:bidi="ar"/>
        </w:rPr>
        <w:t>身份证号码：</w:t>
      </w:r>
    </w:p>
    <w:p>
      <w:pPr>
        <w:spacing w:line="440" w:lineRule="exact"/>
        <w:ind w:firstLine="4730" w:firstLineChars="2150"/>
        <w:rPr>
          <w:rFonts w:cs="Calibri"/>
          <w:color w:val="000000"/>
          <w:sz w:val="22"/>
        </w:rPr>
      </w:pPr>
      <w:r>
        <w:rPr>
          <w:rFonts w:hint="eastAsia" w:ascii="Cambria" w:hAnsi="Cambria" w:eastAsia="宋体" w:cs="Calibri"/>
          <w:color w:val="000000"/>
          <w:sz w:val="22"/>
          <w:lang w:bidi="ar"/>
        </w:rPr>
        <w:t>日期：</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年</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月</w:t>
      </w:r>
      <w:r>
        <w:rPr>
          <w:rFonts w:ascii="Cambria" w:hAnsi="Cambria" w:eastAsia="宋体" w:cs="Calibri"/>
          <w:color w:val="000000"/>
          <w:sz w:val="22"/>
          <w:u w:val="single"/>
          <w:lang w:bidi="ar"/>
        </w:rPr>
        <w:t xml:space="preserve">      </w:t>
      </w:r>
      <w:r>
        <w:rPr>
          <w:rFonts w:hint="eastAsia" w:ascii="Cambria" w:hAnsi="Cambria" w:eastAsia="宋体" w:cs="Calibri"/>
          <w:color w:val="000000"/>
          <w:sz w:val="22"/>
          <w:lang w:bidi="ar"/>
        </w:rPr>
        <w:t>日</w:t>
      </w:r>
    </w:p>
    <w:p>
      <w:pPr>
        <w:spacing w:line="440" w:lineRule="exact"/>
        <w:rPr>
          <w:rFonts w:cs="Calibri"/>
          <w:color w:val="000000"/>
          <w:szCs w:val="21"/>
        </w:rPr>
      </w:pPr>
      <w:r>
        <w:rPr>
          <w:rFonts w:ascii="Cambria" w:hAnsi="Cambria" w:eastAsia="宋体" w:cs="Times New Roman"/>
          <w:snapToGrid w:val="0"/>
          <w:sz w:val="24"/>
          <w:szCs w:val="2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8"/>
                              </w:rPr>
                            </w:pPr>
                            <w:r>
                              <w:rPr>
                                <w:rFonts w:hint="eastAsia" w:ascii="Cambria" w:hAnsi="Cambria" w:eastAsia="宋体" w:cs="宋体"/>
                                <w:sz w:val="24"/>
                                <w:szCs w:val="21"/>
                                <w:lang w:bidi="ar"/>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8"/>
                        </w:rPr>
                      </w:pPr>
                      <w:r>
                        <w:rPr>
                          <w:rFonts w:hint="eastAsia" w:ascii="Cambria" w:hAnsi="Cambria" w:eastAsia="宋体" w:cs="宋体"/>
                          <w:sz w:val="24"/>
                          <w:szCs w:val="21"/>
                          <w:lang w:bidi="ar"/>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ascii="Cambria" w:hAnsi="Cambria" w:eastAsia="宋体" w:cs="Calibri"/>
          <w:b/>
          <w:color w:val="000000"/>
          <w:sz w:val="22"/>
          <w:lang w:bidi="ar"/>
        </w:rPr>
      </w:pPr>
      <w:r>
        <w:rPr>
          <w:rFonts w:cs="Calibri"/>
          <w:color w:val="000000"/>
          <w:szCs w:val="21"/>
        </w:rPr>
        <w:t xml:space="preserve"> </w:t>
      </w:r>
      <w:r>
        <w:rPr>
          <w:rFonts w:hint="eastAsia" w:ascii="Cambria" w:hAnsi="Cambria" w:eastAsia="宋体" w:cs="Calibri"/>
          <w:color w:val="000000"/>
          <w:sz w:val="22"/>
          <w:lang w:bidi="ar"/>
        </w:rPr>
        <w:t>注：如投标文件由委托代理人签字或盖章的，投标文件必须附此授权委托书。</w:t>
      </w:r>
      <w:r>
        <w:rPr>
          <w:rFonts w:ascii="Cambria" w:hAnsi="Cambria" w:eastAsia="宋体" w:cs="Calibri"/>
          <w:b/>
          <w:color w:val="000000"/>
          <w:sz w:val="22"/>
          <w:lang w:bidi="ar"/>
        </w:rPr>
        <w:t xml:space="preserve"> </w:t>
      </w:r>
    </w:p>
    <w:p>
      <w:pPr>
        <w:widowControl/>
        <w:jc w:val="left"/>
        <w:rPr>
          <w:rFonts w:hAnsi="宋体" w:eastAsia="宋体" w:cs="宋体"/>
          <w:sz w:val="22"/>
        </w:rPr>
      </w:pPr>
      <w:r>
        <w:rPr>
          <w:rFonts w:ascii="Cambria" w:hAnsi="Cambria" w:eastAsia="宋体" w:cs="Calibri"/>
          <w:b/>
          <w:color w:val="000000"/>
          <w:sz w:val="22"/>
          <w:lang w:bidi="ar"/>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5"/>
        <w:spacing w:after="120" w:afterLines="50" w:line="360" w:lineRule="auto"/>
        <w:jc w:val="center"/>
        <w:rPr>
          <w:rFonts w:hAnsi="宋体" w:cs="宋体"/>
        </w:rPr>
      </w:pPr>
    </w:p>
    <w:p>
      <w:pPr>
        <w:pStyle w:val="5"/>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33"/>
    <w:bookmarkEnd w:id="134"/>
    <w:bookmarkEnd w:id="135"/>
    <w:bookmarkEnd w:id="136"/>
    <w:bookmarkEnd w:id="13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7"/>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96"/>
        <w:gridCol w:w="960"/>
        <w:gridCol w:w="1148"/>
        <w:gridCol w:w="967"/>
        <w:gridCol w:w="1140"/>
        <w:gridCol w:w="1425"/>
        <w:gridCol w:w="1240"/>
        <w:gridCol w:w="83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序号</w:t>
            </w:r>
          </w:p>
        </w:tc>
        <w:tc>
          <w:tcPr>
            <w:tcW w:w="1296"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材质</w:t>
            </w: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尺寸（寸）</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年采购预估量（个）</w:t>
            </w:r>
          </w:p>
        </w:tc>
        <w:tc>
          <w:tcPr>
            <w:tcW w:w="967" w:type="dxa"/>
            <w:vAlign w:val="center"/>
          </w:tcPr>
          <w:p>
            <w:pPr>
              <w:pStyle w:val="26"/>
              <w:snapToGrid w:val="0"/>
              <w:jc w:val="center"/>
              <w:rPr>
                <w:rFonts w:ascii="宋体" w:hAnsi="宋体" w:cs="Arial" w:eastAsiaTheme="minorEastAsia"/>
                <w:kern w:val="0"/>
                <w:sz w:val="22"/>
              </w:rPr>
            </w:pPr>
            <w:r>
              <w:rPr>
                <w:rFonts w:hint="eastAsia" w:ascii="宋体" w:hAnsi="宋体"/>
                <w:b/>
                <w:sz w:val="22"/>
              </w:rPr>
              <w:t>含税单价（元）</w:t>
            </w:r>
          </w:p>
        </w:tc>
        <w:tc>
          <w:tcPr>
            <w:tcW w:w="1140" w:type="dxa"/>
            <w:vAlign w:val="center"/>
          </w:tcPr>
          <w:p>
            <w:pPr>
              <w:pStyle w:val="26"/>
              <w:snapToGrid w:val="0"/>
              <w:jc w:val="center"/>
              <w:rPr>
                <w:rFonts w:ascii="宋体" w:hAnsi="宋体" w:cs="Arial" w:eastAsiaTheme="minorEastAsia"/>
                <w:kern w:val="0"/>
                <w:sz w:val="22"/>
              </w:rPr>
            </w:pPr>
            <w:r>
              <w:rPr>
                <w:rFonts w:hint="eastAsia" w:ascii="宋体" w:hAnsi="宋体"/>
                <w:b/>
                <w:sz w:val="22"/>
              </w:rPr>
              <w:t>含税小计（元）</w:t>
            </w:r>
          </w:p>
        </w:tc>
        <w:tc>
          <w:tcPr>
            <w:tcW w:w="1425" w:type="dxa"/>
            <w:vAlign w:val="center"/>
          </w:tcPr>
          <w:p>
            <w:pPr>
              <w:pStyle w:val="26"/>
              <w:snapToGrid w:val="0"/>
              <w:jc w:val="center"/>
              <w:rPr>
                <w:rFonts w:ascii="宋体" w:hAnsi="宋体" w:cs="Arial"/>
                <w:kern w:val="0"/>
                <w:sz w:val="22"/>
              </w:rPr>
            </w:pPr>
            <w:r>
              <w:rPr>
                <w:rFonts w:hint="eastAsia" w:ascii="宋体" w:hAnsi="宋体"/>
                <w:b/>
                <w:sz w:val="22"/>
              </w:rPr>
              <w:t>不含税单价（元）</w:t>
            </w:r>
          </w:p>
        </w:tc>
        <w:tc>
          <w:tcPr>
            <w:tcW w:w="1240" w:type="dxa"/>
            <w:vAlign w:val="center"/>
          </w:tcPr>
          <w:p>
            <w:pPr>
              <w:pStyle w:val="26"/>
              <w:snapToGrid w:val="0"/>
              <w:jc w:val="center"/>
              <w:rPr>
                <w:rFonts w:ascii="宋体" w:hAnsi="宋体" w:cs="Arial"/>
                <w:kern w:val="0"/>
                <w:sz w:val="22"/>
              </w:rPr>
            </w:pPr>
            <w:r>
              <w:rPr>
                <w:rFonts w:hint="eastAsia" w:ascii="宋体" w:hAnsi="宋体"/>
                <w:b/>
                <w:sz w:val="22"/>
              </w:rPr>
              <w:t>不含税小计（元）</w:t>
            </w:r>
          </w:p>
        </w:tc>
        <w:tc>
          <w:tcPr>
            <w:tcW w:w="830" w:type="dxa"/>
            <w:vAlign w:val="center"/>
          </w:tcPr>
          <w:p>
            <w:pPr>
              <w:pStyle w:val="26"/>
              <w:snapToGrid w:val="0"/>
              <w:jc w:val="center"/>
              <w:rPr>
                <w:rFonts w:ascii="宋体" w:hAnsi="宋体" w:cs="Arial"/>
                <w:kern w:val="0"/>
                <w:sz w:val="22"/>
              </w:rPr>
            </w:pPr>
            <w:r>
              <w:rPr>
                <w:rFonts w:hint="eastAsia" w:ascii="宋体" w:hAnsi="宋体"/>
                <w:b/>
                <w:sz w:val="2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w:t>
            </w:r>
          </w:p>
        </w:tc>
        <w:tc>
          <w:tcPr>
            <w:tcW w:w="1296"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牛津帆布万向轮拉杆箱</w:t>
            </w: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800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3</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4</w:t>
            </w:r>
          </w:p>
        </w:tc>
        <w:tc>
          <w:tcPr>
            <w:tcW w:w="1296" w:type="dxa"/>
            <w:vMerge w:val="restart"/>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塑料硬壳万向轮拉杆箱</w:t>
            </w: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28</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5</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24</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1500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632" w:type="dxa"/>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6</w:t>
            </w:r>
          </w:p>
        </w:tc>
        <w:tc>
          <w:tcPr>
            <w:tcW w:w="1296" w:type="dxa"/>
            <w:vMerge w:val="continue"/>
            <w:vAlign w:val="center"/>
          </w:tcPr>
          <w:p>
            <w:pPr>
              <w:widowControl/>
              <w:adjustRightInd w:val="0"/>
              <w:snapToGrid w:val="0"/>
              <w:spacing w:line="360" w:lineRule="exact"/>
              <w:jc w:val="center"/>
              <w:rPr>
                <w:rFonts w:ascii="宋体" w:hAnsi="宋体" w:cs="Arial"/>
                <w:kern w:val="0"/>
                <w:sz w:val="22"/>
              </w:rPr>
            </w:pPr>
          </w:p>
        </w:tc>
        <w:tc>
          <w:tcPr>
            <w:tcW w:w="960"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20</w:t>
            </w:r>
          </w:p>
        </w:tc>
        <w:tc>
          <w:tcPr>
            <w:tcW w:w="1148" w:type="dxa"/>
            <w:shd w:val="clear" w:color="auto" w:fill="auto"/>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1200</w:t>
            </w:r>
          </w:p>
        </w:tc>
        <w:tc>
          <w:tcPr>
            <w:tcW w:w="967" w:type="dxa"/>
            <w:vAlign w:val="center"/>
          </w:tcPr>
          <w:p>
            <w:pPr>
              <w:widowControl/>
              <w:adjustRightInd w:val="0"/>
              <w:snapToGrid w:val="0"/>
              <w:spacing w:line="360" w:lineRule="exact"/>
              <w:jc w:val="center"/>
              <w:rPr>
                <w:rFonts w:ascii="宋体" w:hAnsi="宋体" w:cs="Arial"/>
                <w:kern w:val="0"/>
                <w:sz w:val="22"/>
              </w:rPr>
            </w:pPr>
          </w:p>
        </w:tc>
        <w:tc>
          <w:tcPr>
            <w:tcW w:w="1140" w:type="dxa"/>
            <w:vAlign w:val="center"/>
          </w:tcPr>
          <w:p>
            <w:pPr>
              <w:widowControl/>
              <w:adjustRightInd w:val="0"/>
              <w:snapToGrid w:val="0"/>
              <w:spacing w:line="360" w:lineRule="exact"/>
              <w:jc w:val="center"/>
              <w:rPr>
                <w:rFonts w:ascii="宋体" w:hAnsi="宋体" w:cs="Arial"/>
                <w:kern w:val="0"/>
                <w:sz w:val="22"/>
              </w:rPr>
            </w:pPr>
          </w:p>
        </w:tc>
        <w:tc>
          <w:tcPr>
            <w:tcW w:w="1425" w:type="dxa"/>
            <w:vAlign w:val="center"/>
          </w:tcPr>
          <w:p>
            <w:pPr>
              <w:widowControl/>
              <w:adjustRightInd w:val="0"/>
              <w:snapToGrid w:val="0"/>
              <w:spacing w:line="360" w:lineRule="exact"/>
              <w:jc w:val="center"/>
              <w:rPr>
                <w:rFonts w:ascii="宋体" w:hAnsi="宋体" w:cs="Arial"/>
                <w:kern w:val="0"/>
                <w:sz w:val="22"/>
              </w:rPr>
            </w:pPr>
          </w:p>
        </w:tc>
        <w:tc>
          <w:tcPr>
            <w:tcW w:w="1240" w:type="dxa"/>
            <w:vAlign w:val="center"/>
          </w:tcPr>
          <w:p>
            <w:pPr>
              <w:widowControl/>
              <w:adjustRightInd w:val="0"/>
              <w:snapToGrid w:val="0"/>
              <w:spacing w:line="360" w:lineRule="exact"/>
              <w:jc w:val="center"/>
              <w:rPr>
                <w:rFonts w:ascii="宋体" w:hAnsi="宋体" w:cs="Arial"/>
                <w:kern w:val="0"/>
                <w:sz w:val="22"/>
              </w:rPr>
            </w:pPr>
          </w:p>
        </w:tc>
        <w:tc>
          <w:tcPr>
            <w:tcW w:w="830" w:type="dxa"/>
            <w:vAlign w:val="center"/>
          </w:tcPr>
          <w:p>
            <w:pPr>
              <w:widowControl/>
              <w:adjustRightInd w:val="0"/>
              <w:snapToGrid w:val="0"/>
              <w:spacing w:line="360" w:lineRule="exact"/>
              <w:jc w:val="center"/>
              <w:rPr>
                <w:rFonts w:ascii="宋体" w:hAnsi="宋体" w:cs="Arial"/>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6" w:type="dxa"/>
            <w:gridSpan w:val="4"/>
            <w:vAlign w:val="center"/>
          </w:tcPr>
          <w:p>
            <w:pPr>
              <w:widowControl/>
              <w:adjustRightInd w:val="0"/>
              <w:snapToGrid w:val="0"/>
              <w:spacing w:line="360" w:lineRule="exact"/>
              <w:jc w:val="center"/>
              <w:rPr>
                <w:rFonts w:ascii="宋体" w:hAnsi="宋体" w:cs="Arial"/>
                <w:kern w:val="0"/>
                <w:sz w:val="22"/>
              </w:rPr>
            </w:pPr>
            <w:r>
              <w:rPr>
                <w:rFonts w:hint="eastAsia" w:ascii="宋体" w:hAnsi="宋体" w:cs="Arial"/>
                <w:kern w:val="0"/>
                <w:sz w:val="22"/>
              </w:rPr>
              <w:t>合计</w:t>
            </w:r>
          </w:p>
        </w:tc>
        <w:tc>
          <w:tcPr>
            <w:tcW w:w="2107" w:type="dxa"/>
            <w:gridSpan w:val="2"/>
            <w:vAlign w:val="center"/>
          </w:tcPr>
          <w:p>
            <w:pPr>
              <w:pStyle w:val="26"/>
              <w:snapToGrid w:val="0"/>
              <w:jc w:val="left"/>
              <w:rPr>
                <w:rFonts w:ascii="宋体" w:hAnsi="宋体" w:cs="Arial" w:eastAsiaTheme="minorEastAsia"/>
                <w:kern w:val="0"/>
                <w:sz w:val="22"/>
              </w:rPr>
            </w:pPr>
            <w:r>
              <w:rPr>
                <w:rFonts w:hint="eastAsia" w:ascii="宋体" w:hAnsi="宋体"/>
                <w:bCs/>
                <w:sz w:val="22"/>
              </w:rPr>
              <w:t>含税总计：</w:t>
            </w:r>
          </w:p>
        </w:tc>
        <w:tc>
          <w:tcPr>
            <w:tcW w:w="2665" w:type="dxa"/>
            <w:gridSpan w:val="2"/>
            <w:vAlign w:val="center"/>
          </w:tcPr>
          <w:p>
            <w:pPr>
              <w:pStyle w:val="26"/>
              <w:snapToGrid w:val="0"/>
              <w:jc w:val="left"/>
              <w:rPr>
                <w:rFonts w:ascii="宋体" w:hAnsi="宋体" w:cs="Arial" w:eastAsiaTheme="minorEastAsia"/>
                <w:kern w:val="0"/>
                <w:sz w:val="22"/>
              </w:rPr>
            </w:pPr>
            <w:r>
              <w:rPr>
                <w:rFonts w:hint="eastAsia" w:ascii="宋体" w:hAnsi="宋体"/>
                <w:bCs/>
                <w:sz w:val="22"/>
              </w:rPr>
              <w:t>不含税总计：</w:t>
            </w:r>
          </w:p>
        </w:tc>
        <w:tc>
          <w:tcPr>
            <w:tcW w:w="837" w:type="dxa"/>
            <w:gridSpan w:val="2"/>
            <w:vAlign w:val="center"/>
          </w:tcPr>
          <w:p>
            <w:pPr>
              <w:widowControl/>
              <w:adjustRightInd w:val="0"/>
              <w:snapToGrid w:val="0"/>
              <w:spacing w:line="360" w:lineRule="exact"/>
              <w:jc w:val="center"/>
              <w:rPr>
                <w:rFonts w:ascii="宋体" w:hAnsi="宋体" w:cs="Arial"/>
                <w:kern w:val="0"/>
                <w:sz w:val="22"/>
              </w:rPr>
            </w:pPr>
          </w:p>
        </w:tc>
      </w:tr>
    </w:tbl>
    <w:p>
      <w:pPr>
        <w:spacing w:line="360" w:lineRule="auto"/>
        <w:rPr>
          <w:rFonts w:ascii="宋体" w:hAnsi="宋体" w:eastAsia="宋体" w:cs="宋体"/>
          <w:szCs w:val="21"/>
        </w:rPr>
      </w:pPr>
      <w:r>
        <w:rPr>
          <w:rFonts w:hint="eastAsia" w:ascii="宋体" w:hAnsi="宋体" w:eastAsia="宋体" w:cs="宋体"/>
          <w:szCs w:val="21"/>
        </w:rPr>
        <w:t>1、含税小计=年参考用量*含税单价；不含税小计=年参考用量*不含税单价；总计为各小计的合计。</w:t>
      </w:r>
    </w:p>
    <w:p>
      <w:pPr>
        <w:spacing w:line="360" w:lineRule="auto"/>
        <w:rPr>
          <w:rFonts w:ascii="宋体" w:hAnsi="宋体" w:eastAsia="宋体" w:cs="宋体"/>
          <w:bCs/>
          <w:color w:val="000000"/>
          <w:kern w:val="0"/>
          <w:szCs w:val="21"/>
        </w:rPr>
      </w:pPr>
      <w:r>
        <w:rPr>
          <w:rFonts w:hint="eastAsia" w:ascii="宋体" w:hAnsi="宋体" w:eastAsia="宋体" w:cs="宋体"/>
          <w:szCs w:val="21"/>
        </w:rPr>
        <w:t>2、投标报价为整个服务期的最高限价，报价中已包含投标人完成本招标项目的一切费用。</w:t>
      </w:r>
      <w:r>
        <w:rPr>
          <w:rFonts w:hint="eastAsia" w:ascii="宋体" w:hAnsi="宋体" w:eastAsia="宋体" w:cs="宋体"/>
          <w:bCs/>
          <w:color w:val="000000"/>
          <w:kern w:val="0"/>
          <w:szCs w:val="21"/>
        </w:rPr>
        <w:t>在服务期限内，若因国家税收政策调整而引起的增值税税率变化的，应按照国家税收政策调整，含税单价金额变更为原不含税单价与调整后税率计算税额的合计金额。</w:t>
      </w:r>
    </w:p>
    <w:p>
      <w:pPr>
        <w:spacing w:line="360" w:lineRule="auto"/>
        <w:rPr>
          <w:rFonts w:ascii="宋体" w:hAnsi="宋体" w:eastAsia="宋体" w:cs="宋体"/>
          <w:bCs/>
          <w:color w:val="000000"/>
          <w:kern w:val="0"/>
          <w:szCs w:val="21"/>
        </w:rPr>
      </w:pPr>
      <w:r>
        <w:rPr>
          <w:rFonts w:hint="eastAsia" w:ascii="宋体" w:hAnsi="宋体" w:eastAsia="宋体" w:cs="宋体"/>
          <w:bCs/>
          <w:color w:val="000000"/>
          <w:kern w:val="0"/>
          <w:szCs w:val="21"/>
        </w:rPr>
        <w:t>3、上述列表中的“年参考用量”为预估数量，不作为最终的成交数量,也不作为合同期内最低采购额度，招标方将根据实际需求分批次进行采购。</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38" w:name="_Toc133214103"/>
      <w:bookmarkStart w:id="139" w:name="_Toc137373399"/>
      <w:bookmarkStart w:id="140" w:name="_Toc133470544"/>
      <w:bookmarkStart w:id="141" w:name="_Toc133214310"/>
      <w:r>
        <w:rPr>
          <w:rFonts w:hint="eastAsia" w:ascii="Cambria" w:hAnsi="Cambria" w:eastAsia="宋体" w:cs="Calibri"/>
          <w:color w:val="000000"/>
          <w:sz w:val="22"/>
          <w:lang w:bidi="ar"/>
        </w:rPr>
        <w:t xml:space="preserve">  </w:t>
      </w:r>
    </w:p>
    <w:bookmarkEnd w:id="138"/>
    <w:bookmarkEnd w:id="139"/>
    <w:bookmarkEnd w:id="140"/>
    <w:bookmarkEnd w:id="141"/>
    <w:p>
      <w:pPr>
        <w:rPr>
          <w:rFonts w:ascii="宋体" w:hAnsi="宋体" w:cs="Arial"/>
          <w:b/>
          <w:sz w:val="22"/>
        </w:rPr>
      </w:pPr>
      <w:r>
        <w:rPr>
          <w:rFonts w:ascii="宋体" w:hAnsi="宋体" w:cs="Arial"/>
          <w:b/>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6"/>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1"/>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16"/>
        <w:tblW w:w="97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764"/>
        <w:gridCol w:w="2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764"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232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64"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2325"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64"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2325"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64"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2325"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5"/>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1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r>
              <w:rPr>
                <w:rFonts w:hAnsi="宋体"/>
                <w:kern w:val="2"/>
                <w:sz w:val="21"/>
              </w:rPr>
              <w:t>序号</w:t>
            </w:r>
          </w:p>
        </w:tc>
        <w:tc>
          <w:tcPr>
            <w:tcW w:w="900" w:type="dxa"/>
            <w:vAlign w:val="center"/>
          </w:tcPr>
          <w:p>
            <w:pPr>
              <w:pStyle w:val="5"/>
              <w:adjustRightInd w:val="0"/>
              <w:snapToGrid w:val="0"/>
              <w:jc w:val="center"/>
              <w:rPr>
                <w:rFonts w:hAnsi="宋体"/>
                <w:kern w:val="2"/>
                <w:sz w:val="21"/>
              </w:rPr>
            </w:pPr>
            <w:r>
              <w:rPr>
                <w:rFonts w:hAnsi="宋体"/>
                <w:kern w:val="2"/>
                <w:sz w:val="21"/>
              </w:rPr>
              <w:t>内容</w:t>
            </w:r>
          </w:p>
        </w:tc>
        <w:tc>
          <w:tcPr>
            <w:tcW w:w="3510" w:type="dxa"/>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Pr>
        <w:pStyle w:val="5"/>
        <w:adjustRightInd w:val="0"/>
        <w:snapToGrid w:val="0"/>
        <w:spacing w:line="560" w:lineRule="exact"/>
        <w:rPr>
          <w:rFonts w:hAnsi="宋体"/>
          <w:b/>
        </w:rPr>
      </w:pPr>
      <w:r>
        <w:rPr>
          <w:rFonts w:hint="eastAsia" w:hAnsi="宋体"/>
          <w:b/>
        </w:rPr>
        <w:t>附件8～15 未提供格式部分由投标人自行拟定</w:t>
      </w:r>
    </w:p>
    <w:p/>
    <w:p/>
    <w:p/>
    <w:p/>
    <w:sectPr>
      <w:footerReference r:id="rId6" w:type="first"/>
      <w:pgSz w:w="11906" w:h="16838"/>
      <w:pgMar w:top="1191" w:right="1191"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center"/>
    </w:pPr>
    <w:r>
      <w:fldChar w:fldCharType="begin"/>
    </w:r>
    <w:r>
      <w:rPr>
        <w:rStyle w:val="19"/>
      </w:rPr>
      <w:instrText xml:space="preserve">PAGE  </w:instrText>
    </w:r>
    <w:r>
      <w:fldChar w:fldCharType="separate"/>
    </w:r>
    <w:r>
      <w:rPr>
        <w:rStyle w:val="19"/>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40</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杭州萧山国际机场不正常行李赔偿用行李箱供应商选聘项目招标文件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34D6B"/>
    <w:multiLevelType w:val="singleLevel"/>
    <w:tmpl w:val="C1034D6B"/>
    <w:lvl w:ilvl="0" w:tentative="0">
      <w:start w:val="1"/>
      <w:numFmt w:val="decimal"/>
      <w:suff w:val="nothing"/>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2">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3">
    <w:nsid w:val="5347BF23"/>
    <w:multiLevelType w:val="singleLevel"/>
    <w:tmpl w:val="5347BF23"/>
    <w:lvl w:ilvl="0" w:tentative="0">
      <w:start w:val="14"/>
      <w:numFmt w:val="chineseCounting"/>
      <w:suff w:val="nothing"/>
      <w:lvlText w:val="%1、"/>
      <w:lvlJc w:val="left"/>
      <w:rPr>
        <w:rFonts w:hint="eastAsia"/>
      </w:rPr>
    </w:lvl>
  </w:abstractNum>
  <w:abstractNum w:abstractNumId="14">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5">
    <w:nsid w:val="58119CD5"/>
    <w:multiLevelType w:val="singleLevel"/>
    <w:tmpl w:val="58119CD5"/>
    <w:lvl w:ilvl="0" w:tentative="0">
      <w:start w:val="1"/>
      <w:numFmt w:val="chineseCounting"/>
      <w:suff w:val="nothing"/>
      <w:lvlText w:val="%1、"/>
      <w:lvlJc w:val="left"/>
    </w:lvl>
  </w:abstractNum>
  <w:num w:numId="1">
    <w:abstractNumId w:val="15"/>
  </w:num>
  <w:num w:numId="2">
    <w:abstractNumId w:val="13"/>
  </w:num>
  <w:num w:numId="3">
    <w:abstractNumId w:val="0"/>
  </w:num>
  <w:num w:numId="4">
    <w:abstractNumId w:val="11"/>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0"/>
  </w:num>
  <w:num w:numId="10">
    <w:abstractNumId w:val="4"/>
  </w:num>
  <w:num w:numId="11">
    <w:abstractNumId w:val="5"/>
  </w:num>
  <w:num w:numId="12">
    <w:abstractNumId w:val="7"/>
  </w:num>
  <w:num w:numId="13">
    <w:abstractNumId w:val="3"/>
  </w:num>
  <w:num w:numId="14">
    <w:abstractNumId w:val="1"/>
  </w:num>
  <w:num w:numId="15">
    <w:abstractNumId w:val="2"/>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32F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60" w:lineRule="exact"/>
      <w:ind w:firstLine="880" w:firstLineChars="200"/>
      <w:outlineLvl w:val="0"/>
    </w:pPr>
    <w:rPr>
      <w:rFonts w:eastAsia="黑体"/>
      <w:kern w:val="44"/>
      <w:sz w:val="32"/>
    </w:rPr>
  </w:style>
  <w:style w:type="paragraph" w:styleId="3">
    <w:name w:val="heading 2"/>
    <w:basedOn w:val="1"/>
    <w:next w:val="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0"/>
    <w:pPr>
      <w:jc w:val="left"/>
    </w:pPr>
  </w:style>
  <w:style w:type="paragraph" w:styleId="5">
    <w:name w:val="Plain Text"/>
    <w:basedOn w:val="1"/>
    <w:link w:val="32"/>
    <w:qFormat/>
    <w:uiPriority w:val="0"/>
    <w:rPr>
      <w:rFonts w:ascii="宋体" w:hAnsi="Courier New" w:eastAsia="宋体" w:cs="Times New Roman"/>
      <w:kern w:val="0"/>
      <w:sz w:val="20"/>
      <w:szCs w:val="21"/>
    </w:rPr>
  </w:style>
  <w:style w:type="paragraph" w:styleId="6">
    <w:name w:val="Date"/>
    <w:basedOn w:val="1"/>
    <w:next w:val="1"/>
    <w:link w:val="33"/>
    <w:qFormat/>
    <w:uiPriority w:val="0"/>
    <w:pPr>
      <w:ind w:left="100" w:leftChars="2500"/>
    </w:p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kern w:val="0"/>
      <w:sz w:val="20"/>
      <w:szCs w:val="24"/>
    </w:rPr>
  </w:style>
  <w:style w:type="paragraph" w:styleId="8">
    <w:name w:val="Balloon Text"/>
    <w:basedOn w:val="1"/>
    <w:link w:val="29"/>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1">
    <w:name w:val="toc 1"/>
    <w:basedOn w:val="1"/>
    <w:next w:val="1"/>
    <w:qFormat/>
    <w:uiPriority w:val="39"/>
    <w:pPr>
      <w:adjustRightInd w:val="0"/>
      <w:snapToGrid w:val="0"/>
    </w:pPr>
    <w:rPr>
      <w:rFonts w:ascii="Times New Roman" w:hAnsi="Times New Roman" w:eastAsia="仿宋" w:cs="Times New Roman"/>
      <w:szCs w:val="24"/>
    </w:rPr>
  </w:style>
  <w:style w:type="paragraph" w:styleId="12">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3">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15">
    <w:name w:val="annotation subject"/>
    <w:basedOn w:val="4"/>
    <w:next w:val="4"/>
    <w:link w:val="31"/>
    <w:qFormat/>
    <w:uiPriority w:val="0"/>
    <w:rPr>
      <w:b/>
      <w:bCs/>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Theme="minorHAnsi" w:hAnsiTheme="minorHAnsi" w:eastAsiaTheme="minorEastAsia" w:cstheme="minorBidi"/>
      <w:lang w:val="en-US" w:eastAsia="zh-CN" w:bidi="ar-SA"/>
    </w:rPr>
  </w:style>
  <w:style w:type="character" w:styleId="20">
    <w:name w:val="Hyperlink"/>
    <w:qFormat/>
    <w:uiPriority w:val="99"/>
    <w:rPr>
      <w:rFonts w:asciiTheme="minorHAnsi" w:hAnsiTheme="minorHAnsi" w:eastAsiaTheme="minorEastAsia" w:cstheme="minorBidi"/>
      <w:color w:val="0000FF"/>
      <w:u w:val="single"/>
      <w:lang w:val="en-US" w:eastAsia="zh-CN" w:bidi="ar-SA"/>
    </w:rPr>
  </w:style>
  <w:style w:type="character" w:styleId="21">
    <w:name w:val="annotation reference"/>
    <w:basedOn w:val="18"/>
    <w:semiHidden/>
    <w:qFormat/>
    <w:uiPriority w:val="0"/>
    <w:rPr>
      <w:rFonts w:asciiTheme="minorHAnsi" w:hAnsiTheme="minorHAnsi" w:eastAsiaTheme="minorEastAsia" w:cstheme="minorBidi"/>
      <w:sz w:val="21"/>
      <w:szCs w:val="21"/>
      <w:lang w:val="en-US" w:eastAsia="zh-CN" w:bidi="ar-SA"/>
    </w:rPr>
  </w:style>
  <w:style w:type="paragraph" w:customStyle="1" w:styleId="22">
    <w:name w:val="啥都没"/>
    <w:basedOn w:val="1"/>
    <w:qFormat/>
    <w:uiPriority w:val="0"/>
  </w:style>
  <w:style w:type="paragraph" w:customStyle="1" w:styleId="23">
    <w:name w:val="表格"/>
    <w:basedOn w:val="1"/>
    <w:qFormat/>
    <w:uiPriority w:val="0"/>
  </w:style>
  <w:style w:type="character" w:customStyle="1" w:styleId="24">
    <w:name w:val="zbggmain style9"/>
    <w:basedOn w:val="18"/>
    <w:qFormat/>
    <w:uiPriority w:val="0"/>
    <w:rPr>
      <w:rFonts w:asciiTheme="minorHAnsi" w:hAnsiTheme="minorHAnsi" w:eastAsiaTheme="minorEastAsia" w:cstheme="minorBidi"/>
      <w:lang w:val="en-US" w:eastAsia="zh-CN" w:bidi="ar-SA"/>
    </w:rPr>
  </w:style>
  <w:style w:type="paragraph" w:customStyle="1" w:styleId="2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8">
    <w:name w:val="列出段落1"/>
    <w:basedOn w:val="1"/>
    <w:qFormat/>
    <w:uiPriority w:val="34"/>
    <w:pPr>
      <w:ind w:firstLine="420" w:firstLineChars="200"/>
    </w:pPr>
  </w:style>
  <w:style w:type="character" w:customStyle="1" w:styleId="29">
    <w:name w:val="批注框文本 字符"/>
    <w:basedOn w:val="18"/>
    <w:link w:val="8"/>
    <w:qFormat/>
    <w:uiPriority w:val="0"/>
    <w:rPr>
      <w:rFonts w:ascii="Calibri" w:hAnsi="Calibri" w:eastAsia="宋体" w:cs="Times New Roman"/>
      <w:sz w:val="18"/>
      <w:szCs w:val="18"/>
      <w:lang w:val="en-US" w:eastAsia="zh-CN" w:bidi="ar-SA"/>
    </w:rPr>
  </w:style>
  <w:style w:type="character" w:customStyle="1" w:styleId="30">
    <w:name w:val="批注文字 字符"/>
    <w:basedOn w:val="18"/>
    <w:link w:val="4"/>
    <w:qFormat/>
    <w:uiPriority w:val="0"/>
    <w:rPr>
      <w:rFonts w:ascii="Calibri" w:hAnsi="Calibri" w:eastAsia="宋体" w:cs="Times New Roman"/>
      <w:lang w:val="en-US" w:eastAsia="zh-CN" w:bidi="ar-SA"/>
    </w:rPr>
  </w:style>
  <w:style w:type="character" w:customStyle="1" w:styleId="31">
    <w:name w:val="批注主题 字符"/>
    <w:basedOn w:val="30"/>
    <w:link w:val="15"/>
    <w:qFormat/>
    <w:uiPriority w:val="0"/>
    <w:rPr>
      <w:b/>
      <w:bCs/>
    </w:rPr>
  </w:style>
  <w:style w:type="character" w:customStyle="1" w:styleId="32">
    <w:name w:val="纯文本 字符"/>
    <w:basedOn w:val="18"/>
    <w:link w:val="5"/>
    <w:qFormat/>
    <w:uiPriority w:val="0"/>
    <w:rPr>
      <w:rFonts w:ascii="宋体" w:hAnsi="Courier New" w:eastAsia="宋体" w:cs="Times New Roman"/>
      <w:kern w:val="0"/>
      <w:sz w:val="20"/>
      <w:szCs w:val="21"/>
      <w:lang w:val="en-US" w:eastAsia="zh-CN" w:bidi="ar-SA"/>
    </w:rPr>
  </w:style>
  <w:style w:type="character" w:customStyle="1" w:styleId="33">
    <w:name w:val="日期 字符"/>
    <w:basedOn w:val="18"/>
    <w:link w:val="6"/>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4458</Words>
  <Characters>25413</Characters>
  <Lines>211</Lines>
  <Paragraphs>59</Paragraphs>
  <TotalTime>0</TotalTime>
  <ScaleCrop>false</ScaleCrop>
  <LinksUpToDate>false</LinksUpToDate>
  <CharactersWithSpaces>29812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2019-09-02T08:00:00Z</dcterms:created>
  <dc:creator>(*__*)</dc:creator>
  <cp:lastModifiedBy>贾思勰</cp:lastModifiedBy>
  <dcterms:modified xsi:type="dcterms:W3CDTF">2019-10-31T10:20:17Z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