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u w:val="single"/>
        </w:rPr>
        <w:t>要客梯地胶板</w:t>
      </w:r>
      <w:r>
        <w:rPr>
          <w:rFonts w:hint="eastAsia" w:ascii="黑体" w:hAnsi="黑体" w:eastAsia="黑体"/>
          <w:b/>
          <w:sz w:val="44"/>
          <w:szCs w:val="44"/>
        </w:rPr>
        <w:t>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tabs>
          <w:tab w:val="right" w:leader="dot" w:pos="8290"/>
        </w:tabs>
        <w:spacing w:line="480" w:lineRule="auto"/>
        <w:ind w:firstLine="442"/>
        <w:rPr>
          <w:rFonts w:ascii="黑体" w:hAnsi="黑体" w:eastAsia="黑体"/>
          <w:sz w:val="22"/>
        </w:rPr>
      </w:pPr>
      <w:r>
        <w:rPr>
          <w:rFonts w:hint="eastAsia" w:ascii="黑体" w:hAnsi="黑体" w:eastAsia="黑体"/>
          <w:b/>
          <w:sz w:val="22"/>
        </w:rPr>
        <w:fldChar w:fldCharType="begin"/>
      </w:r>
      <w:r>
        <w:rPr>
          <w:rFonts w:hint="eastAsia" w:ascii="黑体" w:hAnsi="黑体" w:eastAsia="黑体"/>
          <w:b/>
          <w:sz w:val="22"/>
        </w:rPr>
        <w:instrText xml:space="preserve"> TOC \o "1-1" \h \z \u </w:instrText>
      </w:r>
      <w:r>
        <w:rPr>
          <w:rFonts w:hint="eastAsia" w:ascii="黑体" w:hAnsi="黑体" w:eastAsia="黑体"/>
          <w:b/>
          <w:sz w:val="22"/>
        </w:rPr>
        <w:fldChar w:fldCharType="separate"/>
      </w:r>
      <w:r>
        <w:rPr>
          <w:rFonts w:hint="eastAsia" w:ascii="黑体" w:hAnsi="黑体" w:eastAsia="黑体"/>
          <w:sz w:val="22"/>
        </w:rPr>
        <w:t>第一章  招标公告</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_Toc321925451 \h </w:instrText>
      </w:r>
      <w:r>
        <w:rPr>
          <w:rFonts w:hint="eastAsia" w:ascii="黑体" w:hAnsi="黑体" w:eastAsia="黑体"/>
          <w:sz w:val="22"/>
        </w:rPr>
        <w:fldChar w:fldCharType="separate"/>
      </w:r>
      <w:r>
        <w:rPr>
          <w:rFonts w:ascii="黑体" w:hAnsi="黑体" w:eastAsia="黑体"/>
          <w:sz w:val="22"/>
        </w:rPr>
        <w:t>- 2 -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第二章  投标人须知</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_Toc321925452 \h </w:instrText>
      </w:r>
      <w:r>
        <w:rPr>
          <w:rFonts w:hint="eastAsia" w:ascii="黑体" w:hAnsi="黑体" w:eastAsia="黑体"/>
          <w:sz w:val="22"/>
        </w:rPr>
        <w:fldChar w:fldCharType="separate"/>
      </w:r>
      <w:r>
        <w:rPr>
          <w:rFonts w:ascii="黑体" w:hAnsi="黑体" w:eastAsia="黑体"/>
          <w:sz w:val="22"/>
        </w:rPr>
        <w:t>- 4 -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第三章  货物需求一览表及技术规格</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_Toc321925453 \h </w:instrText>
      </w:r>
      <w:r>
        <w:rPr>
          <w:rFonts w:hint="eastAsia" w:ascii="黑体" w:hAnsi="黑体" w:eastAsia="黑体"/>
          <w:sz w:val="22"/>
        </w:rPr>
        <w:fldChar w:fldCharType="separate"/>
      </w:r>
      <w:r>
        <w:rPr>
          <w:rFonts w:ascii="黑体" w:hAnsi="黑体" w:eastAsia="黑体"/>
          <w:sz w:val="22"/>
        </w:rPr>
        <w:t>- 13 -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 xml:space="preserve">第四章  </w:t>
      </w:r>
      <w:r>
        <w:rPr>
          <w:rFonts w:ascii="黑体" w:hAnsi="黑体" w:eastAsia="黑体"/>
          <w:sz w:val="22"/>
        </w:rPr>
        <w:t>合同条款</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_Toc321925454 \h </w:instrText>
      </w:r>
      <w:r>
        <w:rPr>
          <w:rFonts w:hint="eastAsia" w:ascii="黑体" w:hAnsi="黑体" w:eastAsia="黑体"/>
          <w:sz w:val="22"/>
        </w:rPr>
        <w:fldChar w:fldCharType="separate"/>
      </w:r>
      <w:r>
        <w:rPr>
          <w:rFonts w:ascii="黑体" w:hAnsi="黑体" w:eastAsia="黑体"/>
          <w:sz w:val="22"/>
        </w:rPr>
        <w:t>- 15 -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cs="Calibri"/>
          <w:kern w:val="0"/>
          <w:sz w:val="22"/>
        </w:rPr>
        <w:t>第五章  评标方法及标准</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_Toc321925456 \h </w:instrText>
      </w:r>
      <w:r>
        <w:rPr>
          <w:rFonts w:hint="eastAsia" w:ascii="黑体" w:hAnsi="黑体" w:eastAsia="黑体"/>
          <w:sz w:val="22"/>
        </w:rPr>
        <w:fldChar w:fldCharType="separate"/>
      </w:r>
      <w:r>
        <w:rPr>
          <w:rFonts w:ascii="黑体" w:hAnsi="黑体" w:eastAsia="黑体"/>
          <w:sz w:val="22"/>
        </w:rPr>
        <w:t>- 19 -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第六章  投标文件格式</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_Toc321925457 \h </w:instrText>
      </w:r>
      <w:r>
        <w:rPr>
          <w:rFonts w:hint="eastAsia" w:ascii="黑体" w:hAnsi="黑体" w:eastAsia="黑体"/>
          <w:sz w:val="22"/>
        </w:rPr>
        <w:fldChar w:fldCharType="separate"/>
      </w:r>
      <w:r>
        <w:rPr>
          <w:rFonts w:ascii="黑体" w:hAnsi="黑体" w:eastAsia="黑体"/>
          <w:sz w:val="22"/>
        </w:rPr>
        <w:t>- 22 -</w:t>
      </w:r>
      <w:r>
        <w:rPr>
          <w:rFonts w:hint="eastAsia" w:ascii="黑体" w:hAnsi="黑体" w:eastAsia="黑体"/>
          <w:sz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39"/>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要客梯地胶板采购项目进行公开招标，欢迎符合资格要求的供应商参与投标。</w:t>
      </w:r>
    </w:p>
    <w:p>
      <w:pPr>
        <w:widowControl/>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招标货物名称、数量及主要技术规格（设备型号）</w:t>
      </w:r>
    </w:p>
    <w:tbl>
      <w:tblPr>
        <w:tblStyle w:val="4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地胶板</w:t>
            </w:r>
          </w:p>
        </w:tc>
        <w:tc>
          <w:tcPr>
            <w:tcW w:w="1409" w:type="dxa"/>
            <w:vAlign w:val="center"/>
          </w:tcPr>
          <w:p>
            <w:pPr>
              <w:widowControl/>
              <w:jc w:val="left"/>
              <w:rPr>
                <w:rFonts w:ascii="宋体" w:hAnsi="宋体"/>
              </w:rPr>
            </w:pPr>
            <w:r>
              <w:rPr>
                <w:rFonts w:hint="eastAsia" w:ascii="宋体" w:hAnsi="宋体"/>
                <w:sz w:val="22"/>
              </w:rPr>
              <w:t>312平方米</w:t>
            </w:r>
          </w:p>
        </w:tc>
        <w:tc>
          <w:tcPr>
            <w:tcW w:w="2118" w:type="dxa"/>
            <w:vAlign w:val="center"/>
          </w:tcPr>
          <w:p>
            <w:pPr>
              <w:widowControl/>
              <w:jc w:val="left"/>
              <w:rPr>
                <w:rFonts w:ascii="宋体" w:hAnsi="宋体"/>
              </w:rPr>
            </w:pPr>
            <w:r>
              <w:rPr>
                <w:rFonts w:hint="eastAsia" w:ascii="宋体" w:hAnsi="宋体"/>
                <w:sz w:val="22"/>
              </w:rPr>
              <w:t>签订合同后3</w:t>
            </w:r>
            <w:r>
              <w:rPr>
                <w:rFonts w:ascii="宋体" w:hAnsi="宋体"/>
                <w:sz w:val="22"/>
              </w:rPr>
              <w:t>0</w:t>
            </w:r>
            <w:r>
              <w:rPr>
                <w:rFonts w:hint="eastAsia" w:ascii="宋体" w:hAnsi="宋体"/>
                <w:sz w:val="22"/>
              </w:rPr>
              <w:t>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杭州萧山国际机场航站楼内指定地点</w:t>
            </w:r>
          </w:p>
        </w:tc>
      </w:tr>
    </w:tbl>
    <w:p>
      <w:pPr>
        <w:widowControl/>
        <w:snapToGrid w:val="0"/>
        <w:spacing w:line="340" w:lineRule="exact"/>
        <w:ind w:firstLine="440" w:firstLineChars="200"/>
        <w:jc w:val="left"/>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3"/>
          <w:rFonts w:hint="eastAsia" w:ascii="宋体" w:hAnsi="宋体" w:cs="宋体"/>
          <w:sz w:val="22"/>
        </w:rPr>
        <w:t>具有独立法人资格，注册资金不少于人民币</w:t>
      </w:r>
      <w:r>
        <w:rPr>
          <w:rStyle w:val="83"/>
          <w:rFonts w:cs="宋体"/>
          <w:sz w:val="22"/>
          <w:u w:val="single"/>
        </w:rPr>
        <w:t>100</w:t>
      </w:r>
      <w:r>
        <w:rPr>
          <w:rStyle w:val="83"/>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2019年11月7日下午13时45分（北京时间）</w:t>
      </w:r>
      <w:r>
        <w:rPr>
          <w:rFonts w:hint="eastAsia" w:ascii="宋体" w:hAnsi="宋体" w:cs="Arial"/>
          <w:kern w:val="0"/>
          <w:sz w:val="22"/>
        </w:rPr>
        <w:t>。投标文件在封口处加盖公章，并派专人于</w:t>
      </w:r>
      <w:r>
        <w:rPr>
          <w:rFonts w:hint="eastAsia" w:ascii="宋体" w:hAnsi="宋体" w:cs="Arial"/>
          <w:kern w:val="0"/>
          <w:sz w:val="22"/>
          <w:lang w:eastAsia="zh-CN"/>
        </w:rPr>
        <w:t>2019年11月7日下午13时45分（北京时间）</w:t>
      </w:r>
      <w:r>
        <w:rPr>
          <w:rFonts w:hint="eastAsia" w:ascii="宋体" w:hAnsi="宋体" w:cs="Arial"/>
          <w:kern w:val="0"/>
          <w:sz w:val="22"/>
        </w:rPr>
        <w:t>前送至杭州萧山国际机场翔越路综合服务楼园区招标中心，逾期无效；若采用投递（邮寄）方式的，请于</w:t>
      </w:r>
      <w:r>
        <w:rPr>
          <w:rFonts w:hint="eastAsia" w:ascii="宋体" w:hAnsi="宋体" w:cs="Arial"/>
          <w:kern w:val="0"/>
          <w:sz w:val="22"/>
          <w:lang w:eastAsia="zh-CN"/>
        </w:rPr>
        <w:t>2019年11月7日下午13时45分（北京时间）</w:t>
      </w:r>
      <w:r>
        <w:rPr>
          <w:rFonts w:hint="eastAsia" w:ascii="宋体" w:hAnsi="宋体" w:cs="Arial"/>
          <w:kern w:val="0"/>
          <w:sz w:val="22"/>
        </w:rPr>
        <w:t>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 xml:space="preserve">六、联系方式 </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投标联系人：朱少华       联系电话：</w:t>
      </w:r>
      <w:r>
        <w:rPr>
          <w:rFonts w:hint="eastAsia" w:ascii="宋体" w:hAnsi="宋体"/>
        </w:rPr>
        <w:t>0571-</w:t>
      </w:r>
      <w:r>
        <w:rPr>
          <w:rFonts w:ascii="宋体" w:hAnsi="宋体"/>
        </w:rPr>
        <w:t>8383</w:t>
      </w:r>
      <w:r>
        <w:rPr>
          <w:rFonts w:hint="eastAsia" w:ascii="宋体" w:hAnsi="宋体"/>
        </w:rPr>
        <w:t>700</w:t>
      </w:r>
      <w:r>
        <w:rPr>
          <w:rFonts w:ascii="宋体" w:hAnsi="宋体"/>
        </w:rPr>
        <w:t>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招标监督人：朱  伟       联系电话：</w:t>
      </w:r>
      <w:r>
        <w:rPr>
          <w:rFonts w:hint="eastAsia" w:ascii="宋体" w:hAnsi="宋体"/>
        </w:rPr>
        <w:t>0571-83837713</w:t>
      </w: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40" w:firstLineChars="200"/>
        <w:rPr>
          <w:rFonts w:ascii="宋体" w:hAnsi="宋体"/>
          <w:bCs/>
          <w:sz w:val="22"/>
        </w:rPr>
      </w:pPr>
    </w:p>
    <w:p>
      <w:pPr>
        <w:pStyle w:val="39"/>
      </w:pPr>
      <w:r>
        <w:rPr>
          <w:rFonts w:hint="eastAsia" w:ascii="宋体" w:hAnsi="宋体"/>
          <w:bCs w:val="0"/>
          <w:sz w:val="22"/>
          <w:szCs w:val="22"/>
        </w:rPr>
        <w:t xml:space="preserve"> </w:t>
      </w:r>
      <w:bookmarkStart w:id="1" w:name="_Toc321925452"/>
      <w:r>
        <w:t>第</w:t>
      </w:r>
      <w:r>
        <w:rPr>
          <w:rFonts w:hint="eastAsia"/>
        </w:rPr>
        <w:t>二</w:t>
      </w:r>
      <w:r>
        <w:t>章  投标</w:t>
      </w:r>
      <w:r>
        <w:rPr>
          <w:rFonts w:hint="eastAsia"/>
        </w:rPr>
        <w:t>人须知</w:t>
      </w:r>
      <w:bookmarkEnd w:id="1"/>
    </w:p>
    <w:p>
      <w:pPr>
        <w:pStyle w:val="28"/>
        <w:spacing w:line="240" w:lineRule="auto"/>
        <w:jc w:val="center"/>
        <w:rPr>
          <w:b/>
          <w:sz w:val="28"/>
          <w:szCs w:val="28"/>
        </w:rPr>
      </w:pPr>
      <w:r>
        <w:rPr>
          <w:rFonts w:hint="eastAsia"/>
          <w:b/>
          <w:sz w:val="28"/>
          <w:szCs w:val="28"/>
        </w:rPr>
        <w:t>投标人须知前附表</w:t>
      </w:r>
    </w:p>
    <w:tbl>
      <w:tblPr>
        <w:tblStyle w:val="43"/>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要客梯地胶板</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11</w:t>
            </w:r>
            <w:r>
              <w:rPr>
                <w:rFonts w:ascii="宋体" w:hAnsi="宋体" w:cs="Calibri"/>
                <w:kern w:val="0"/>
                <w:sz w:val="22"/>
              </w:rPr>
              <w:t>月</w:t>
            </w:r>
            <w:r>
              <w:rPr>
                <w:rFonts w:hint="eastAsia" w:ascii="宋体" w:hAnsi="宋体" w:cs="Calibri"/>
                <w:kern w:val="0"/>
                <w:sz w:val="22"/>
                <w:lang w:val="en-US" w:eastAsia="zh-CN"/>
              </w:rPr>
              <w:t>4</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lang w:eastAsia="zh-CN"/>
              </w:rPr>
              <w:t>联系招标人，</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ascii="宋体" w:hAnsi="宋体" w:eastAsia="宋体" w:cs="Calibri"/>
                <w:b/>
                <w:kern w:val="0"/>
                <w:lang w:eastAsia="zh-CN"/>
              </w:rPr>
            </w:pPr>
            <w:r>
              <w:rPr>
                <w:rFonts w:hint="eastAsia" w:ascii="宋体" w:hAnsi="宋体" w:cs="Calibri"/>
                <w:b/>
                <w:kern w:val="0"/>
                <w:sz w:val="22"/>
                <w:lang w:eastAsia="zh-CN"/>
              </w:rPr>
              <w:t>2019年11月7日下午13时45分（北京时间）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要客梯地胶板采购项目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7</w:t>
            </w:r>
            <w:bookmarkStart w:id="86" w:name="_GoBack"/>
            <w:bookmarkEnd w:id="86"/>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13</w:t>
            </w:r>
            <w:r>
              <w:rPr>
                <w:rFonts w:hint="eastAsia" w:ascii="宋体" w:hAnsi="宋体" w:cs="Calibri"/>
                <w:kern w:val="0"/>
                <w:sz w:val="22"/>
                <w:u w:val="single"/>
              </w:rPr>
              <w:t>时</w:t>
            </w:r>
            <w:r>
              <w:rPr>
                <w:rFonts w:hint="eastAsia" w:ascii="宋体" w:hAnsi="宋体" w:cs="Calibri"/>
                <w:kern w:val="0"/>
                <w:sz w:val="22"/>
                <w:u w:val="single"/>
                <w:lang w:val="en-US" w:eastAsia="zh-CN"/>
              </w:rPr>
              <w:t>45</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38"/>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3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bookmarkEnd w:id="2"/>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无</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15553"/>
      <w:bookmarkStart w:id="48" w:name="_Toc22012324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986"/>
      <w:bookmarkStart w:id="54" w:name="_Toc220123244"/>
      <w:bookmarkStart w:id="55" w:name="_Toc21980980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5509"/>
      <w:bookmarkStart w:id="58" w:name="_Toc22012324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10820"/>
      <w:bookmarkStart w:id="61" w:name="_Toc21980980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20123247"/>
      <w:bookmarkStart w:id="64" w:name="_Toc21980980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12792"/>
      <w:bookmarkStart w:id="66" w:name="_Toc220123248"/>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pStyle w:val="39"/>
      </w:pPr>
      <w:bookmarkStart w:id="72" w:name="_Toc321925453"/>
      <w:r>
        <w:t>第</w:t>
      </w:r>
      <w:r>
        <w:rPr>
          <w:rFonts w:hint="eastAsia"/>
        </w:rPr>
        <w:t>三</w:t>
      </w:r>
      <w:r>
        <w:t>章  货物需求一览表及技术规格</w:t>
      </w:r>
      <w:bookmarkEnd w:id="72"/>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要客梯地胶板</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43"/>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vAlign w:val="center"/>
          </w:tcPr>
          <w:p>
            <w:pPr>
              <w:widowControl/>
              <w:jc w:val="center"/>
              <w:rPr>
                <w:rFonts w:ascii="宋体" w:hAnsi="宋体"/>
              </w:rPr>
            </w:pPr>
            <w:r>
              <w:rPr>
                <w:rFonts w:hint="eastAsia" w:ascii="宋体" w:hAnsi="宋体"/>
                <w:sz w:val="22"/>
              </w:rPr>
              <w:t>货物名称</w:t>
            </w:r>
          </w:p>
        </w:tc>
        <w:tc>
          <w:tcPr>
            <w:tcW w:w="1409" w:type="dxa"/>
            <w:vAlign w:val="center"/>
          </w:tcPr>
          <w:p>
            <w:pPr>
              <w:widowControl/>
              <w:jc w:val="center"/>
              <w:rPr>
                <w:rFonts w:ascii="宋体" w:hAnsi="宋体"/>
              </w:rPr>
            </w:pPr>
            <w:r>
              <w:rPr>
                <w:rFonts w:hint="eastAsia" w:ascii="宋体" w:hAnsi="宋体"/>
                <w:sz w:val="22"/>
              </w:rPr>
              <w:t>数量</w:t>
            </w:r>
          </w:p>
        </w:tc>
        <w:tc>
          <w:tcPr>
            <w:tcW w:w="2118" w:type="dxa"/>
            <w:vAlign w:val="center"/>
          </w:tcPr>
          <w:p>
            <w:pPr>
              <w:widowControl/>
              <w:jc w:val="center"/>
              <w:rPr>
                <w:rFonts w:ascii="宋体" w:hAnsi="宋体"/>
              </w:rPr>
            </w:pPr>
            <w:r>
              <w:rPr>
                <w:rFonts w:hint="eastAsia" w:ascii="宋体" w:hAnsi="宋体"/>
                <w:sz w:val="22"/>
              </w:rPr>
              <w:t>交货日期</w:t>
            </w:r>
          </w:p>
        </w:tc>
        <w:tc>
          <w:tcPr>
            <w:tcW w:w="2151" w:type="dxa"/>
            <w:vAlign w:val="center"/>
          </w:tcPr>
          <w:p>
            <w:pPr>
              <w:widowControl/>
              <w:jc w:val="center"/>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1" w:type="dxa"/>
            <w:vAlign w:val="center"/>
          </w:tcPr>
          <w:p>
            <w:pPr>
              <w:widowControl/>
              <w:jc w:val="center"/>
              <w:rPr>
                <w:rFonts w:ascii="宋体" w:hAnsi="宋体"/>
              </w:rPr>
            </w:pPr>
            <w:r>
              <w:rPr>
                <w:rFonts w:hint="eastAsia" w:ascii="宋体" w:hAnsi="宋体"/>
                <w:sz w:val="22"/>
              </w:rPr>
              <w:t>要客梯地胶板</w:t>
            </w:r>
          </w:p>
        </w:tc>
        <w:tc>
          <w:tcPr>
            <w:tcW w:w="1409" w:type="dxa"/>
            <w:vAlign w:val="center"/>
          </w:tcPr>
          <w:p>
            <w:pPr>
              <w:widowControl/>
              <w:jc w:val="center"/>
              <w:rPr>
                <w:rFonts w:ascii="宋体" w:hAnsi="宋体"/>
              </w:rPr>
            </w:pPr>
            <w:r>
              <w:rPr>
                <w:rFonts w:hint="eastAsia" w:ascii="宋体" w:hAnsi="宋体"/>
                <w:sz w:val="22"/>
              </w:rPr>
              <w:t>312平方米</w:t>
            </w:r>
          </w:p>
        </w:tc>
        <w:tc>
          <w:tcPr>
            <w:tcW w:w="2118" w:type="dxa"/>
            <w:vAlign w:val="center"/>
          </w:tcPr>
          <w:p>
            <w:pPr>
              <w:widowControl/>
              <w:jc w:val="center"/>
              <w:rPr>
                <w:rFonts w:ascii="宋体" w:hAnsi="宋体"/>
              </w:rPr>
            </w:pPr>
            <w:r>
              <w:rPr>
                <w:rFonts w:hint="eastAsia" w:ascii="宋体" w:hAnsi="宋体"/>
                <w:sz w:val="22"/>
              </w:rPr>
              <w:t>签订合同后30个日历天内</w:t>
            </w:r>
          </w:p>
        </w:tc>
        <w:tc>
          <w:tcPr>
            <w:tcW w:w="2151" w:type="dxa"/>
            <w:vAlign w:val="center"/>
          </w:tcPr>
          <w:p>
            <w:pPr>
              <w:widowControl/>
              <w:jc w:val="center"/>
              <w:rPr>
                <w:rFonts w:ascii="宋体" w:hAnsi="宋体"/>
              </w:rPr>
            </w:pPr>
            <w:r>
              <w:rPr>
                <w:rFonts w:hint="eastAsia" w:ascii="宋体" w:hAnsi="宋体"/>
                <w:sz w:val="22"/>
              </w:rPr>
              <w:t>杭州萧山国际机场内</w:t>
            </w:r>
          </w:p>
        </w:tc>
      </w:tr>
    </w:tbl>
    <w:p>
      <w:pPr>
        <w:spacing w:line="560" w:lineRule="exact"/>
        <w:rPr>
          <w:rFonts w:ascii="宋体" w:hAnsi="宋体"/>
          <w:b/>
          <w:sz w:val="22"/>
        </w:rPr>
      </w:pPr>
      <w:r>
        <w:rPr>
          <w:rFonts w:hint="eastAsia" w:ascii="宋体" w:hAnsi="宋体"/>
          <w:sz w:val="22"/>
        </w:rPr>
        <w:t>备注：投标人报价为杭州萧山国际机场内交货价，包含但不限于产品价格、运输费、包装费、安装费、原要客梯地胶板拆除及清运费、铺装中的损耗、要客梯基面处理、其他安装所需的辅材等费用、保险费、税费等所有费用。甲方不再承担其他任何费用。</w:t>
      </w:r>
    </w:p>
    <w:p>
      <w:pPr>
        <w:widowControl/>
        <w:spacing w:line="560" w:lineRule="exact"/>
        <w:jc w:val="left"/>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pStyle w:val="39"/>
        <w:jc w:val="both"/>
        <w:rPr>
          <w:rFonts w:ascii="宋体" w:hAnsi="宋体" w:eastAsia="宋体"/>
          <w:b w:val="0"/>
          <w:bCs w:val="0"/>
          <w:sz w:val="22"/>
          <w:szCs w:val="22"/>
        </w:rPr>
      </w:pPr>
      <w:bookmarkStart w:id="73" w:name="_Toc321925454"/>
      <w:r>
        <w:rPr>
          <w:rFonts w:hint="eastAsia" w:ascii="宋体" w:hAnsi="宋体" w:eastAsia="宋体"/>
          <w:b w:val="0"/>
          <w:bCs w:val="0"/>
          <w:sz w:val="22"/>
          <w:szCs w:val="22"/>
        </w:rPr>
        <w:t>★规格：圆浮点楼梯踏步</w:t>
      </w:r>
    </w:p>
    <w:p>
      <w:pPr>
        <w:pStyle w:val="39"/>
        <w:ind w:firstLine="660" w:firstLineChars="300"/>
        <w:jc w:val="both"/>
        <w:rPr>
          <w:rFonts w:ascii="宋体" w:hAnsi="宋体" w:eastAsia="宋体"/>
          <w:b w:val="0"/>
          <w:bCs w:val="0"/>
          <w:sz w:val="22"/>
          <w:szCs w:val="22"/>
        </w:rPr>
      </w:pPr>
      <w:r>
        <w:rPr>
          <w:rFonts w:hint="eastAsia" w:ascii="宋体" w:hAnsi="宋体" w:eastAsia="宋体"/>
          <w:b w:val="0"/>
          <w:bCs w:val="0"/>
          <w:sz w:val="22"/>
          <w:szCs w:val="22"/>
        </w:rPr>
        <w:t>圆浮点平台</w:t>
      </w:r>
    </w:p>
    <w:p>
      <w:pPr>
        <w:pStyle w:val="39"/>
        <w:jc w:val="both"/>
        <w:rPr>
          <w:rFonts w:ascii="宋体" w:hAnsi="宋体" w:eastAsia="宋体"/>
          <w:b w:val="0"/>
          <w:bCs w:val="0"/>
          <w:sz w:val="22"/>
          <w:szCs w:val="22"/>
        </w:rPr>
      </w:pPr>
      <w:r>
        <w:rPr>
          <w:rFonts w:hint="eastAsia" w:ascii="宋体" w:hAnsi="宋体" w:eastAsia="宋体"/>
          <w:b w:val="0"/>
          <w:bCs w:val="0"/>
          <w:sz w:val="22"/>
          <w:szCs w:val="22"/>
        </w:rPr>
        <w:t>★颜色：中国红</w:t>
      </w:r>
    </w:p>
    <w:p>
      <w:pPr>
        <w:pStyle w:val="39"/>
        <w:jc w:val="both"/>
        <w:rPr>
          <w:rFonts w:ascii="宋体" w:hAnsi="宋体" w:eastAsia="宋体"/>
          <w:b w:val="0"/>
          <w:bCs w:val="0"/>
          <w:sz w:val="22"/>
          <w:szCs w:val="22"/>
        </w:rPr>
      </w:pPr>
      <w:r>
        <w:rPr>
          <w:rFonts w:hint="eastAsia" w:ascii="宋体" w:hAnsi="宋体" w:eastAsia="宋体"/>
          <w:b w:val="0"/>
          <w:bCs w:val="0"/>
          <w:sz w:val="22"/>
          <w:szCs w:val="22"/>
        </w:rPr>
        <w:t>★防滑性能：R9</w:t>
      </w:r>
    </w:p>
    <w:p>
      <w:pPr>
        <w:pStyle w:val="39"/>
        <w:jc w:val="both"/>
        <w:rPr>
          <w:rFonts w:ascii="宋体" w:hAnsi="宋体" w:eastAsia="宋体"/>
          <w:b w:val="0"/>
          <w:bCs w:val="0"/>
          <w:sz w:val="22"/>
          <w:szCs w:val="22"/>
        </w:rPr>
      </w:pPr>
      <w:r>
        <w:rPr>
          <w:rFonts w:hint="eastAsia" w:ascii="宋体" w:hAnsi="宋体" w:eastAsia="宋体"/>
          <w:b w:val="0"/>
          <w:bCs w:val="0"/>
          <w:sz w:val="22"/>
          <w:szCs w:val="22"/>
        </w:rPr>
        <w:t>★防火：符合GB8624-2012  B级</w:t>
      </w:r>
    </w:p>
    <w:p>
      <w:pPr>
        <w:pStyle w:val="39"/>
        <w:jc w:val="both"/>
        <w:rPr>
          <w:rFonts w:ascii="宋体" w:hAnsi="宋体" w:eastAsia="宋体"/>
          <w:b w:val="0"/>
          <w:bCs w:val="0"/>
          <w:sz w:val="22"/>
          <w:szCs w:val="22"/>
        </w:rPr>
      </w:pPr>
      <w:r>
        <w:rPr>
          <w:rFonts w:hint="eastAsia" w:ascii="宋体" w:hAnsi="宋体" w:eastAsia="宋体"/>
          <w:b w:val="0"/>
          <w:bCs w:val="0"/>
          <w:sz w:val="22"/>
          <w:szCs w:val="22"/>
        </w:rPr>
        <w:t>★有害物：符合GB 18586-2001</w:t>
      </w:r>
    </w:p>
    <w:p>
      <w:pPr>
        <w:pStyle w:val="39"/>
        <w:jc w:val="both"/>
        <w:rPr>
          <w:rFonts w:ascii="宋体" w:hAnsi="宋体" w:eastAsia="宋体"/>
          <w:b w:val="0"/>
          <w:bCs w:val="0"/>
          <w:sz w:val="22"/>
          <w:szCs w:val="22"/>
        </w:rPr>
      </w:pPr>
      <w:r>
        <w:rPr>
          <w:rFonts w:hint="eastAsia" w:ascii="宋体" w:hAnsi="宋体" w:eastAsia="宋体"/>
          <w:b w:val="0"/>
          <w:bCs w:val="0"/>
          <w:sz w:val="22"/>
          <w:szCs w:val="22"/>
        </w:rPr>
        <w:t>撕裂度:</w:t>
      </w:r>
    </w:p>
    <w:p>
      <w:pPr>
        <w:pStyle w:val="39"/>
        <w:jc w:val="both"/>
        <w:rPr>
          <w:rFonts w:ascii="宋体" w:hAnsi="宋体" w:eastAsia="宋体"/>
          <w:b w:val="0"/>
          <w:bCs w:val="0"/>
          <w:sz w:val="22"/>
          <w:szCs w:val="22"/>
        </w:rPr>
      </w:pPr>
      <w:r>
        <w:rPr>
          <w:rFonts w:hint="eastAsia" w:ascii="宋体" w:hAnsi="宋体" w:eastAsia="宋体"/>
          <w:b w:val="0"/>
          <w:bCs w:val="0"/>
          <w:sz w:val="22"/>
          <w:szCs w:val="22"/>
        </w:rPr>
        <w:t>可溶性铅 ≤20</w:t>
      </w:r>
    </w:p>
    <w:p>
      <w:pPr>
        <w:pStyle w:val="39"/>
        <w:jc w:val="both"/>
        <w:rPr>
          <w:rFonts w:ascii="宋体" w:hAnsi="宋体" w:eastAsia="宋体"/>
          <w:b w:val="0"/>
          <w:bCs w:val="0"/>
          <w:sz w:val="22"/>
          <w:szCs w:val="22"/>
        </w:rPr>
      </w:pPr>
      <w:r>
        <w:rPr>
          <w:rFonts w:hint="eastAsia" w:ascii="宋体" w:hAnsi="宋体" w:eastAsia="宋体"/>
          <w:b w:val="0"/>
          <w:bCs w:val="0"/>
          <w:sz w:val="22"/>
          <w:szCs w:val="22"/>
        </w:rPr>
        <w:t>可溶性镉≤20</w:t>
      </w:r>
    </w:p>
    <w:p>
      <w:pPr>
        <w:pStyle w:val="39"/>
        <w:jc w:val="both"/>
        <w:rPr>
          <w:rFonts w:ascii="宋体" w:hAnsi="宋体" w:eastAsia="宋体"/>
          <w:b w:val="0"/>
          <w:bCs w:val="0"/>
          <w:sz w:val="22"/>
          <w:szCs w:val="22"/>
        </w:rPr>
      </w:pPr>
      <w:r>
        <w:rPr>
          <w:rFonts w:hint="eastAsia" w:ascii="宋体" w:hAnsi="宋体" w:eastAsia="宋体"/>
          <w:b w:val="0"/>
          <w:bCs w:val="0"/>
          <w:sz w:val="22"/>
          <w:szCs w:val="22"/>
        </w:rPr>
        <w:t>挥发物≤50</w:t>
      </w:r>
    </w:p>
    <w:p>
      <w:pPr>
        <w:pStyle w:val="39"/>
        <w:jc w:val="both"/>
        <w:rPr>
          <w:rFonts w:ascii="宋体" w:hAnsi="宋体" w:eastAsia="宋体"/>
          <w:b w:val="0"/>
          <w:bCs w:val="0"/>
          <w:sz w:val="22"/>
          <w:szCs w:val="22"/>
        </w:rPr>
      </w:pPr>
      <w:r>
        <w:rPr>
          <w:rFonts w:hint="eastAsia" w:ascii="宋体" w:hAnsi="宋体" w:eastAsia="宋体"/>
          <w:b w:val="0"/>
          <w:bCs w:val="0"/>
          <w:sz w:val="22"/>
          <w:szCs w:val="22"/>
        </w:rPr>
        <w:t>硬度≥75</w:t>
      </w:r>
    </w:p>
    <w:p>
      <w:pPr>
        <w:pStyle w:val="39"/>
        <w:jc w:val="both"/>
        <w:rPr>
          <w:rFonts w:ascii="宋体" w:hAnsi="宋体" w:eastAsia="宋体"/>
          <w:b w:val="0"/>
          <w:bCs w:val="0"/>
          <w:sz w:val="22"/>
          <w:szCs w:val="22"/>
        </w:rPr>
      </w:pPr>
      <w:r>
        <w:rPr>
          <w:rFonts w:hint="eastAsia" w:ascii="宋体" w:hAnsi="宋体" w:eastAsia="宋体"/>
          <w:b w:val="0"/>
          <w:bCs w:val="0"/>
          <w:sz w:val="22"/>
          <w:szCs w:val="22"/>
        </w:rPr>
        <w:t>撕裂强度≥20</w:t>
      </w:r>
    </w:p>
    <w:p>
      <w:pPr>
        <w:pStyle w:val="39"/>
        <w:jc w:val="both"/>
        <w:rPr>
          <w:rFonts w:ascii="宋体" w:hAnsi="宋体" w:eastAsia="宋体"/>
          <w:b w:val="0"/>
          <w:bCs w:val="0"/>
          <w:sz w:val="22"/>
          <w:szCs w:val="22"/>
        </w:rPr>
      </w:pPr>
      <w:r>
        <w:rPr>
          <w:rFonts w:hint="eastAsia" w:ascii="宋体" w:hAnsi="宋体" w:eastAsia="宋体"/>
          <w:b w:val="0"/>
          <w:bCs w:val="0"/>
          <w:sz w:val="22"/>
          <w:szCs w:val="22"/>
        </w:rPr>
        <w:t>耐磨性能≤250</w:t>
      </w:r>
    </w:p>
    <w:p>
      <w:pPr>
        <w:pStyle w:val="39"/>
        <w:jc w:val="both"/>
        <w:rPr>
          <w:rFonts w:ascii="宋体" w:hAnsi="宋体" w:eastAsia="宋体"/>
          <w:b w:val="0"/>
          <w:bCs w:val="0"/>
          <w:sz w:val="22"/>
          <w:szCs w:val="22"/>
        </w:rPr>
      </w:pPr>
      <w:r>
        <w:rPr>
          <w:rFonts w:hint="eastAsia" w:ascii="宋体" w:hAnsi="宋体" w:eastAsia="宋体"/>
          <w:b w:val="0"/>
          <w:bCs w:val="0"/>
          <w:sz w:val="22"/>
          <w:szCs w:val="22"/>
        </w:rPr>
        <w:t>★色牢度：符合 HGT 3747.1-2011 ≥3</w:t>
      </w:r>
    </w:p>
    <w:p>
      <w:pPr>
        <w:pStyle w:val="39"/>
        <w:jc w:val="both"/>
        <w:rPr>
          <w:rFonts w:ascii="宋体" w:hAnsi="宋体" w:eastAsia="宋体"/>
          <w:b w:val="0"/>
          <w:bCs w:val="0"/>
          <w:sz w:val="22"/>
          <w:szCs w:val="22"/>
        </w:rPr>
      </w:pPr>
      <w:r>
        <w:rPr>
          <w:rFonts w:hint="eastAsia" w:ascii="宋体" w:hAnsi="宋体" w:eastAsia="宋体"/>
          <w:b w:val="0"/>
          <w:bCs w:val="0"/>
          <w:sz w:val="22"/>
          <w:szCs w:val="22"/>
        </w:rPr>
        <w:t>★耐污性能： 符合  HGT3747.1-2011  合格</w:t>
      </w:r>
    </w:p>
    <w:p>
      <w:pPr>
        <w:spacing w:line="400" w:lineRule="exact"/>
        <w:jc w:val="left"/>
        <w:rPr>
          <w:rFonts w:ascii="宋体" w:hAnsi="宋体"/>
          <w:sz w:val="22"/>
        </w:rPr>
      </w:pPr>
      <w:r>
        <w:rPr>
          <w:rFonts w:hint="eastAsia" w:ascii="宋体" w:hAnsi="宋体"/>
          <w:sz w:val="22"/>
        </w:rPr>
        <w:t>本工程所需的材料和设备需经过业主认可的中高档品牌。同档次及以上品牌</w:t>
      </w:r>
    </w:p>
    <w:tbl>
      <w:tblPr>
        <w:tblStyle w:val="43"/>
        <w:tblW w:w="85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sz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1</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地胶板</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秦力、诺拉、联创</w:t>
            </w:r>
          </w:p>
        </w:tc>
      </w:tr>
    </w:tbl>
    <w:p>
      <w:pPr>
        <w:rPr>
          <w:rFonts w:ascii="宋体" w:hAnsi="宋体"/>
          <w:sz w:val="22"/>
        </w:rPr>
      </w:pPr>
    </w:p>
    <w:p>
      <w:pPr>
        <w:sectPr>
          <w:footerReference r:id="rId7" w:type="first"/>
          <w:pgSz w:w="11906" w:h="16838"/>
          <w:pgMar w:top="1134" w:right="1247" w:bottom="1134" w:left="1247" w:header="851" w:footer="992" w:gutter="0"/>
          <w:pgNumType w:fmt="numberInDash"/>
          <w:cols w:space="720" w:num="1"/>
          <w:docGrid w:linePitch="312" w:charSpace="0"/>
        </w:sectPr>
      </w:pPr>
    </w:p>
    <w:p>
      <w:pPr>
        <w:pStyle w:val="39"/>
        <w:jc w:val="both"/>
      </w:pPr>
    </w:p>
    <w:bookmarkEnd w:id="73"/>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杭州萧山国际机场【要客梯地胶板】</w:t>
      </w:r>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黑体" w:eastAsia="仿宋_GB2312"/>
          <w:b/>
          <w:bCs/>
          <w:sz w:val="32"/>
          <w:szCs w:val="32"/>
        </w:rPr>
      </w:pPr>
      <w:r>
        <w:rPr>
          <w:rFonts w:hint="eastAsia" w:ascii="仿宋_GB2312" w:hAnsi="黑体" w:eastAsia="仿宋_GB2312"/>
          <w:b/>
          <w:bCs/>
          <w:sz w:val="32"/>
          <w:szCs w:val="32"/>
        </w:rPr>
        <w:t>一、货物规格型号及参数</w:t>
      </w:r>
    </w:p>
    <w:tbl>
      <w:tblPr>
        <w:tblStyle w:val="43"/>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59"/>
        <w:gridCol w:w="1490"/>
        <w:gridCol w:w="851"/>
        <w:gridCol w:w="1134"/>
        <w:gridCol w:w="255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0"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序号</w:t>
            </w:r>
          </w:p>
        </w:tc>
        <w:tc>
          <w:tcPr>
            <w:tcW w:w="1559"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货物名称</w:t>
            </w:r>
          </w:p>
        </w:tc>
        <w:tc>
          <w:tcPr>
            <w:tcW w:w="1490"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品牌型号</w:t>
            </w:r>
          </w:p>
        </w:tc>
        <w:tc>
          <w:tcPr>
            <w:tcW w:w="851"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w:t>
            </w:r>
          </w:p>
        </w:tc>
        <w:tc>
          <w:tcPr>
            <w:tcW w:w="1134"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数量</w:t>
            </w: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单价 （不含税）</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559"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490"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851"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134"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单位（元）</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地胶板</w:t>
            </w:r>
          </w:p>
        </w:tc>
        <w:tc>
          <w:tcPr>
            <w:tcW w:w="1490"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平方米</w:t>
            </w:r>
          </w:p>
        </w:tc>
        <w:tc>
          <w:tcPr>
            <w:tcW w:w="1134"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ind w:firstLine="120" w:firstLineChars="50"/>
              <w:jc w:val="center"/>
              <w:rPr>
                <w:rFonts w:ascii="仿宋_GB2312" w:hAnsi="黑体" w:eastAsia="仿宋_GB2312"/>
                <w:sz w:val="24"/>
                <w:szCs w:val="24"/>
              </w:rPr>
            </w:pPr>
            <w:r>
              <w:rPr>
                <w:rFonts w:hint="eastAsia" w:ascii="仿宋_GB2312" w:hAnsi="黑体" w:eastAsia="仿宋_GB2312"/>
                <w:sz w:val="24"/>
                <w:szCs w:val="24"/>
              </w:rPr>
              <w:t>312</w:t>
            </w: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55" w:type="dxa"/>
            <w:gridSpan w:val="6"/>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税费</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455" w:type="dxa"/>
            <w:gridSpan w:val="6"/>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合计</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bl>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二、合同金额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本合同金额为固定总价合同，合同金额为（大写）：人民币    ，（小写）</w:t>
      </w:r>
      <w:r>
        <w:rPr>
          <w:rFonts w:hint="eastAsia" w:ascii="宋体" w:hAnsi="宋体" w:eastAsia="仿宋_GB2312" w:cs="Arial Unicode MS"/>
          <w:kern w:val="0"/>
          <w:sz w:val="32"/>
          <w:szCs w:val="32"/>
        </w:rPr>
        <w:t>¥</w:t>
      </w:r>
      <w:r>
        <w:rPr>
          <w:rFonts w:hint="eastAsia" w:ascii="仿宋_GB2312" w:hAnsi="宋体" w:eastAsia="仿宋_GB2312" w:cs="Arial Unicode MS"/>
          <w:kern w:val="0"/>
          <w:sz w:val="32"/>
          <w:szCs w:val="32"/>
        </w:rPr>
        <w:t xml:space="preserve">       。本合同价为杭州萧山国际机场内交货价，含货物价格、运输费、包装费、安装费、原要客梯地胶板拆除及清运费、铺装中的损耗、要客梯基面处理、其他安装所需的辅材等费用、保险费、税费等所有费用。甲方不再承担其他任何费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三、技术资料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1.乙方应在交付合同货物时同时向甲方提供使用货物的有关技术资料。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四、知识产权</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五、产权担保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六、转包或分包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2.如有未经甲方书面同意的转让和分包行为，甲方有权解除合同，并有权要求乙方承担合同暂定总额【5%】的违约金。</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七、货物包装、发货及运输</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乙方应在货物发运前对其按满足运输距离、防潮、防震、防锈和防破损装卸等要求进行包装，以保证货物安全运达甲方指定地点。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乙方在货物发运手续办理完毕后【48】小时内必须书面通知甲方，以便甲方准备接货。</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4. 货物在本合同规定的交货地点交付甲方前发生的一切风险包括货物运输风险均由乙方负责。</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仿宋_GB2312" w:hAnsi="黑体" w:eastAsia="仿宋_GB2312"/>
          <w:sz w:val="32"/>
          <w:szCs w:val="32"/>
        </w:rPr>
      </w:pPr>
      <w:r>
        <w:rPr>
          <w:rFonts w:hint="eastAsia" w:ascii="仿宋_GB2312" w:hAnsi="黑体" w:eastAsia="仿宋_GB2312"/>
          <w:sz w:val="32"/>
          <w:szCs w:val="32"/>
        </w:rPr>
        <w:t>八、交货期、交货方式及交货地点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交货期：合同签订之日起30日历天内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交货方式：乙方送货上门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交货地点：杭州萧山国际机场内</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九、验收</w:t>
      </w:r>
    </w:p>
    <w:p>
      <w:pPr>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2.乙方交货前应对货物作出全面检查和对验收文件进行整理，并列出清单，作为甲方收货验收和使用的技术条件依据，乙方质量检验证书应随货物交甲方。</w:t>
      </w:r>
    </w:p>
    <w:p>
      <w:pPr>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乙方在产品整体安装前，须在甲方指定区域进行产品安装作为试铺装样品，面积不大于60㎡，甲方应在试铺装样品铺装完成后【三十】日内对试铺装样品组织验收。试铺装样品验收合同通过的，乙方可继续实施本合同内剩余部分产品的安装，试铺装样品通过验收部分的所使用产品及相关费用计入合同总量；试铺装样品验收不合格的，乙方须继续更换试铺装样品，直至样品验收通过，试铺装样品通过验收部分的所使用产品及相关费用计入合同总量，未通验收的样品铺装部分费用由乙方自行承担；试铺装样品未通过验收，但续标单位拒不重新更换试铺装样品的，公司有权终止此项目合同，并追究乙方相关违约责任。</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Arial Unicode MS"/>
          <w:kern w:val="0"/>
          <w:sz w:val="32"/>
          <w:szCs w:val="32"/>
        </w:rPr>
        <w:t>4.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十、货款支付</w:t>
      </w:r>
    </w:p>
    <w:p>
      <w:pPr>
        <w:pStyle w:val="37"/>
        <w:widowControl w:val="0"/>
        <w:snapToGrid w:val="0"/>
        <w:spacing w:before="0" w:beforeAutospacing="0" w:after="0" w:afterAutospacing="0" w:line="560" w:lineRule="exact"/>
        <w:ind w:firstLine="640" w:firstLineChars="200"/>
        <w:jc w:val="both"/>
        <w:rPr>
          <w:rFonts w:ascii="仿宋_GB2312" w:hAnsi="宋体" w:eastAsia="仿宋_GB2312"/>
          <w:color w:val="auto"/>
          <w:sz w:val="32"/>
          <w:szCs w:val="32"/>
        </w:rPr>
      </w:pPr>
      <w:r>
        <w:rPr>
          <w:rFonts w:hint="eastAsia" w:ascii="仿宋_GB2312" w:hAnsi="宋体" w:eastAsia="仿宋_GB2312"/>
          <w:color w:val="auto"/>
          <w:sz w:val="32"/>
          <w:szCs w:val="32"/>
        </w:rPr>
        <w:t>1. 设备安装调试完成，并经甲方验收合格后【15】个工作日内，支付合同总金额的95%。</w:t>
      </w:r>
    </w:p>
    <w:p>
      <w:pPr>
        <w:pStyle w:val="37"/>
        <w:widowControl w:val="0"/>
        <w:snapToGrid w:val="0"/>
        <w:spacing w:before="0" w:beforeAutospacing="0" w:after="0" w:afterAutospacing="0" w:line="560" w:lineRule="exact"/>
        <w:ind w:left="420" w:leftChars="200" w:firstLine="161" w:firstLineChars="50"/>
        <w:jc w:val="both"/>
        <w:rPr>
          <w:rFonts w:ascii="仿宋_GB2312" w:hAnsi="宋体" w:eastAsia="仿宋_GB2312"/>
          <w:color w:val="auto"/>
          <w:sz w:val="32"/>
          <w:szCs w:val="32"/>
        </w:rPr>
      </w:pPr>
      <w:r>
        <w:rPr>
          <w:rFonts w:hint="eastAsia" w:ascii="仿宋_GB2312" w:hAnsi="宋体" w:eastAsia="仿宋_GB2312"/>
          <w:b/>
          <w:color w:val="auto"/>
          <w:sz w:val="32"/>
          <w:szCs w:val="32"/>
        </w:rPr>
        <w:t>2.</w:t>
      </w:r>
      <w:r>
        <w:rPr>
          <w:rFonts w:hint="eastAsia" w:ascii="仿宋_GB2312" w:hAnsi="仿宋" w:eastAsia="仿宋_GB2312"/>
          <w:color w:val="auto"/>
          <w:sz w:val="32"/>
          <w:szCs w:val="32"/>
        </w:rPr>
        <w:t xml:space="preserve"> </w:t>
      </w:r>
      <w:r>
        <w:rPr>
          <w:rFonts w:hint="eastAsia" w:ascii="仿宋_GB2312" w:hAnsi="宋体" w:eastAsia="仿宋_GB2312"/>
          <w:color w:val="auto"/>
          <w:sz w:val="32"/>
          <w:szCs w:val="32"/>
        </w:rPr>
        <w:t>质量保证金为合同总价5%，质量保证金于质量保证期满后【十五】工作日内一并无息支付。</w:t>
      </w:r>
    </w:p>
    <w:p>
      <w:pPr>
        <w:pStyle w:val="37"/>
        <w:widowControl w:val="0"/>
        <w:snapToGrid w:val="0"/>
        <w:spacing w:before="0" w:beforeAutospacing="0" w:after="0" w:afterAutospacing="0" w:line="560" w:lineRule="exact"/>
        <w:ind w:left="420" w:leftChars="200" w:firstLine="161" w:firstLineChars="50"/>
        <w:jc w:val="both"/>
        <w:rPr>
          <w:rFonts w:ascii="仿宋_GB2312" w:hAnsi="宋体" w:eastAsia="仿宋_GB2312"/>
          <w:color w:val="auto"/>
          <w:sz w:val="32"/>
          <w:szCs w:val="32"/>
        </w:rPr>
      </w:pPr>
      <w:r>
        <w:rPr>
          <w:rFonts w:hint="eastAsia" w:ascii="仿宋_GB2312" w:hAnsi="宋体" w:eastAsia="仿宋_GB2312"/>
          <w:b/>
          <w:color w:val="auto"/>
          <w:sz w:val="32"/>
          <w:szCs w:val="32"/>
        </w:rPr>
        <w:t>3.</w:t>
      </w:r>
      <w:r>
        <w:rPr>
          <w:rFonts w:hint="eastAsia" w:ascii="仿宋_GB2312" w:hAnsi="宋体" w:eastAsia="仿宋_GB2312"/>
          <w:color w:val="auto"/>
          <w:sz w:val="32"/>
          <w:szCs w:val="32"/>
        </w:rPr>
        <w:t>乙方在甲方每次付款前开具增值税专用发票。</w:t>
      </w:r>
    </w:p>
    <w:p>
      <w:pPr>
        <w:adjustRightInd w:val="0"/>
        <w:snapToGrid w:val="0"/>
        <w:spacing w:line="560" w:lineRule="exact"/>
        <w:ind w:firstLine="602"/>
        <w:outlineLvl w:val="0"/>
        <w:rPr>
          <w:rFonts w:ascii="仿宋_GB2312" w:hAnsi="黑体" w:eastAsia="仿宋_GB2312"/>
          <w:b/>
          <w:sz w:val="32"/>
          <w:szCs w:val="32"/>
        </w:rPr>
      </w:pPr>
      <w:bookmarkStart w:id="74" w:name="_Toc321925457"/>
      <w:r>
        <w:rPr>
          <w:rFonts w:hint="eastAsia" w:ascii="仿宋_GB2312" w:hAnsi="黑体" w:eastAsia="仿宋_GB2312"/>
          <w:b/>
          <w:sz w:val="32"/>
          <w:szCs w:val="32"/>
        </w:rPr>
        <w:t>十一、免费质保期及服务内容</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乙方应为货物提供【24】个月的免费质保期，时间自甲方在安装验收报告上签字确认之日起算。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5.免费质保期结束的【30】天前，乙方负责对货物进行一次全面的返修，并由甲方验收认可。甲方验收认可并不免除乙方对于验收认可后发生的但尚在质保期限内的货物损坏的维修、退换货义务。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6、若乙方提供的货物属于伪劣货物或者假冒货物或者欺诈甲方，使得甲方遭受损失，乙方应向甲方承担违约责任，同时，甲方可依法寻求其他法律救济。</w:t>
      </w:r>
    </w:p>
    <w:p>
      <w:pPr>
        <w:spacing w:line="560" w:lineRule="exact"/>
        <w:ind w:firstLine="640" w:firstLineChars="200"/>
        <w:rPr>
          <w:rFonts w:ascii="宋体" w:hAnsi="宋体"/>
        </w:rPr>
      </w:pPr>
      <w:r>
        <w:rPr>
          <w:rFonts w:hint="eastAsia" w:ascii="仿宋_GB2312" w:hAnsi="黑体" w:eastAsia="仿宋_GB2312"/>
          <w:sz w:val="32"/>
          <w:szCs w:val="32"/>
        </w:rPr>
        <w:t>7.</w:t>
      </w:r>
      <w:r>
        <w:rPr>
          <w:rFonts w:hint="eastAsia" w:ascii="宋体" w:hAnsi="宋体"/>
        </w:rPr>
        <w:t xml:space="preserve"> </w:t>
      </w:r>
      <w:r>
        <w:rPr>
          <w:rFonts w:hint="eastAsia" w:ascii="仿宋_GB2312" w:hAnsi="黑体" w:eastAsia="仿宋_GB2312"/>
          <w:sz w:val="32"/>
          <w:szCs w:val="32"/>
        </w:rPr>
        <w:t>保修期内将对一块褪色情况在甲、乙双方均可接受范围内的产品进行封样保存，在保修期内若出现产品褪色较为严重的情况时，使用封样产品与现场褪色产品进行比对，现场产品褪色情况低于封样产品的则不进行褪色产品更换；现场产品褪色情况高于封样产品的则须履行质保责任，对现场产品褪色进行更换，直至产品符合项目验收条件。</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十二、违约责任</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甲方无故逾期支付货款的,甲方应按逾期付款总额每日【0.05】%向乙方支付违约金。</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3.因乙方更换货物而逾期交货的，按乙方逾期交货处理。乙方拒绝更换货物的，甲方可单方面解除合同，不予支付相应货款。</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 乙方不在约定期限内派人返修或返修质量验收不合格的，甲方可以委托他人修理，费用由乙方承担，甲方与第三方确认后可直接从质量保证金中扣除；质量保证金不足以抵扣的，继续向乙方追偿。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7．对于本合同项下乙方应支付的赔偿款或违约金，甲方有权从应付乙方的货款及质量保证金中直接扣除，仍不足的部分，继续向乙方追偿。</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十三、不可抗力事件处理</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在合同有效期内，任何一方因不可抗力事件导致不能履行合同，则合同履行期可延长，其延长期与不可抗力影响期相同。</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不可抗力事件发生后，遭遇不可抗力的一方应立即通知对方，并寄送有关官方权威机构出具的证明。</w:t>
      </w:r>
    </w:p>
    <w:p>
      <w:pPr>
        <w:spacing w:line="560" w:lineRule="exact"/>
        <w:ind w:firstLine="608" w:firstLineChars="190"/>
        <w:rPr>
          <w:rFonts w:ascii="仿宋_GB2312" w:hAnsi="黑体" w:eastAsia="仿宋_GB2312"/>
          <w:sz w:val="32"/>
          <w:szCs w:val="32"/>
        </w:rPr>
      </w:pPr>
      <w:r>
        <w:rPr>
          <w:rFonts w:hint="eastAsia" w:ascii="仿宋_GB2312" w:hAnsi="黑体" w:eastAsia="仿宋_GB2312"/>
          <w:sz w:val="32"/>
          <w:szCs w:val="3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十五、争议解决</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双方在执行合同中所发生的一切争议，应通过协商解决。如协商不成，由甲方所在地的人民法院管辖审理。</w:t>
      </w:r>
    </w:p>
    <w:p>
      <w:pPr>
        <w:adjustRightInd w:val="0"/>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十六、合同组成文件包含下列内容，且解释顺序如下：</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1.本合同协议书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2.中标通知书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3.招标文件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4.投标书及其附件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5.标准、规范及有关技术文件</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十七、合同生效及其它</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合同经双方法定代表人或授权代表签字（包含签章）并加盖单位公章或者合同章之日起生效。</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2.本合同未尽事宜，双方可签订补充协议予以执行；未达成补充协议的，遵照《合同法》及有关法律法规执行。</w:t>
      </w: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3.本合同一式陆份，甲执四份，乙方持二份，具有同等法律效力。</w:t>
      </w: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（以下为签署页）</w:t>
      </w:r>
      <w:r>
        <w:rPr>
          <w:rFonts w:hint="eastAsia" w:ascii="仿宋_GB2312" w:hAnsi="黑体" w:eastAsia="仿宋_GB2312"/>
          <w:sz w:val="32"/>
          <w:szCs w:val="32"/>
        </w:rPr>
        <w:tab/>
      </w:r>
    </w:p>
    <w:p>
      <w:pPr>
        <w:adjustRightInd w:val="0"/>
        <w:snapToGrid w:val="0"/>
        <w:spacing w:line="560" w:lineRule="exact"/>
        <w:ind w:left="5120" w:hanging="5120" w:hangingChars="1600"/>
        <w:rPr>
          <w:rFonts w:ascii="仿宋_GB2312" w:hAnsi="黑体" w:eastAsia="仿宋_GB2312"/>
          <w:sz w:val="32"/>
          <w:szCs w:val="32"/>
        </w:rPr>
      </w:pPr>
      <w:r>
        <w:rPr>
          <w:rFonts w:hint="eastAsia" w:ascii="仿宋_GB2312" w:hAnsi="黑体" w:eastAsia="仿宋_GB2312"/>
          <w:sz w:val="32"/>
          <w:szCs w:val="32"/>
        </w:rPr>
        <w:t>甲方：杭州萧山国际机场有限公司  乙方：</w:t>
      </w:r>
    </w:p>
    <w:p>
      <w:pPr>
        <w:adjustRightInd w:val="0"/>
        <w:snapToGrid w:val="0"/>
        <w:spacing w:line="560" w:lineRule="exact"/>
        <w:ind w:left="6750" w:hanging="6750"/>
        <w:rPr>
          <w:rFonts w:ascii="仿宋_GB2312" w:hAnsi="黑体" w:eastAsia="仿宋_GB2312"/>
          <w:sz w:val="32"/>
          <w:szCs w:val="32"/>
        </w:rPr>
      </w:pPr>
      <w:r>
        <w:rPr>
          <w:rFonts w:hint="eastAsia" w:ascii="仿宋_GB2312" w:hAnsi="黑体" w:eastAsia="仿宋_GB2312"/>
          <w:sz w:val="32"/>
          <w:szCs w:val="32"/>
        </w:rPr>
        <w:t>地址：杭州萧山国际机场内        地址：</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法定代表人：                     法定代表人：</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或                               或</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授权代表：                       授权代表：</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签字日期：                       签字日期： </w:t>
      </w:r>
    </w:p>
    <w:p>
      <w:pPr>
        <w:adjustRightInd w:val="0"/>
        <w:snapToGrid w:val="0"/>
        <w:spacing w:line="560" w:lineRule="exact"/>
        <w:rPr>
          <w:rFonts w:ascii="仿宋_GB2312" w:hAnsi="黑体" w:eastAsia="仿宋_GB2312"/>
          <w:b/>
          <w:sz w:val="32"/>
          <w:szCs w:val="32"/>
        </w:rPr>
      </w:pPr>
    </w:p>
    <w:p>
      <w:pPr>
        <w:adjustRightInd w:val="0"/>
        <w:snapToGrid w:val="0"/>
        <w:spacing w:line="560" w:lineRule="exact"/>
        <w:ind w:firstLine="640" w:firstLineChars="200"/>
        <w:rPr>
          <w:rFonts w:ascii="仿宋_GB2312" w:hAnsi="黑体" w:eastAsia="仿宋_GB2312"/>
          <w:b/>
          <w:sz w:val="32"/>
          <w:szCs w:val="32"/>
        </w:rPr>
        <w:sectPr>
          <w:pgSz w:w="11906" w:h="16838"/>
          <w:pgMar w:top="1134" w:right="1247" w:bottom="1134" w:left="1247" w:header="851" w:footer="992" w:gutter="0"/>
          <w:pgNumType w:fmt="numberInDash"/>
          <w:cols w:space="720" w:num="1"/>
          <w:docGrid w:linePitch="312" w:charSpace="0"/>
        </w:sectPr>
      </w:pPr>
      <w:r>
        <w:rPr>
          <w:rFonts w:hint="eastAsia" w:ascii="仿宋_GB2312" w:hAnsi="黑体" w:eastAsia="仿宋_GB2312"/>
          <w:sz w:val="32"/>
          <w:szCs w:val="32"/>
        </w:rPr>
        <w:t>年  月  日                      年  月</w:t>
      </w: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（2）扣除我公司的质量保证金的10%作为违反廉洁自律承诺的违约金。如该违约金不足以弥补贵公司损失的，我单位仍将承担实际损失赔偿责任。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r>
        <w:rPr>
          <w:rFonts w:hint="eastAsia" w:ascii="宋体" w:hAnsi="宋体" w:eastAsia="等线"/>
          <w:sz w:val="22"/>
          <w:lang w:bidi="en-US"/>
        </w:rPr>
        <w:t xml:space="preserve">                           年     月     日</w:t>
      </w:r>
    </w:p>
    <w:p>
      <w:pPr>
        <w:adjustRightInd w:val="0"/>
        <w:snapToGrid w:val="0"/>
        <w:spacing w:line="360" w:lineRule="exact"/>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jc w:val="center"/>
        <w:rPr>
          <w:rFonts w:cs="Calibri"/>
          <w:kern w:val="0"/>
        </w:rPr>
      </w:pPr>
      <w:r>
        <w:rPr>
          <w:rFonts w:cs="Calibri"/>
          <w:kern w:val="0"/>
        </w:rPr>
        <w:t>第</w:t>
      </w:r>
      <w:r>
        <w:rPr>
          <w:rFonts w:hint="eastAsia" w:cs="Calibri"/>
          <w:kern w:val="0"/>
        </w:rPr>
        <w:t>五</w:t>
      </w:r>
      <w:r>
        <w:rPr>
          <w:rFonts w:cs="Calibri"/>
          <w:kern w:val="0"/>
        </w:rPr>
        <w:t>章  评标方法及标准</w:t>
      </w:r>
    </w:p>
    <w:p>
      <w:pPr>
        <w:pStyle w:val="26"/>
        <w:spacing w:line="360" w:lineRule="exact"/>
        <w:ind w:firstLine="420"/>
        <w:rPr>
          <w:rFonts w:hAnsi="宋体" w:cs="Calibri"/>
          <w:bCs/>
          <w:szCs w:val="22"/>
        </w:rPr>
      </w:pPr>
      <w:r>
        <w:rPr>
          <w:rFonts w:hAnsi="宋体" w:cs="Calibri"/>
          <w:bCs/>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6"/>
        <w:spacing w:line="360" w:lineRule="exact"/>
        <w:rPr>
          <w:rFonts w:hAnsi="宋体" w:cs="Calibri"/>
          <w:b/>
          <w:bCs/>
          <w:szCs w:val="22"/>
        </w:rPr>
      </w:pPr>
      <w:r>
        <w:rPr>
          <w:rFonts w:hAnsi="宋体" w:cs="Calibri"/>
          <w:b/>
          <w:bCs/>
          <w:szCs w:val="22"/>
        </w:rPr>
        <w:t>一、评标原则</w:t>
      </w:r>
    </w:p>
    <w:p>
      <w:pPr>
        <w:pStyle w:val="26"/>
        <w:spacing w:line="360" w:lineRule="exact"/>
        <w:ind w:firstLine="420"/>
        <w:rPr>
          <w:rFonts w:hAnsi="宋体" w:cs="Calibri"/>
          <w:szCs w:val="22"/>
        </w:rPr>
      </w:pPr>
      <w:r>
        <w:rPr>
          <w:rFonts w:hAnsi="宋体" w:cs="Calibri"/>
          <w:bCs/>
          <w:szCs w:val="22"/>
        </w:rPr>
        <w:t>评标应遵循公平、公正、科学、择优的原则。</w:t>
      </w:r>
    </w:p>
    <w:p>
      <w:pPr>
        <w:pStyle w:val="26"/>
        <w:spacing w:line="360" w:lineRule="exact"/>
        <w:rPr>
          <w:rFonts w:hAnsi="宋体" w:cs="Calibri"/>
          <w:b/>
          <w:bCs/>
          <w:szCs w:val="22"/>
        </w:rPr>
      </w:pPr>
      <w:r>
        <w:rPr>
          <w:rFonts w:hAnsi="宋体" w:cs="Calibri"/>
          <w:b/>
          <w:bCs/>
          <w:szCs w:val="22"/>
        </w:rPr>
        <w:t>二、评标组织</w:t>
      </w:r>
    </w:p>
    <w:p>
      <w:pPr>
        <w:pStyle w:val="26"/>
        <w:spacing w:line="360" w:lineRule="exact"/>
        <w:ind w:firstLine="420"/>
        <w:rPr>
          <w:rFonts w:hAnsi="宋体" w:cs="Calibri"/>
          <w:szCs w:val="22"/>
        </w:rPr>
      </w:pPr>
      <w:r>
        <w:rPr>
          <w:rFonts w:hAnsi="宋体" w:cs="Calibri"/>
          <w:szCs w:val="22"/>
        </w:rPr>
        <w:t>评标工作由招标人依法组建的评标委员会（小组）负责。评标委员会成员为</w:t>
      </w:r>
      <w:r>
        <w:rPr>
          <w:rFonts w:hint="eastAsia" w:hAnsi="宋体" w:cs="Calibri"/>
          <w:szCs w:val="22"/>
        </w:rPr>
        <w:t>3</w:t>
      </w:r>
      <w:r>
        <w:rPr>
          <w:rFonts w:hAnsi="宋体" w:cs="Calibri"/>
          <w:szCs w:val="22"/>
        </w:rPr>
        <w:t>人及以上单数，</w:t>
      </w:r>
      <w:r>
        <w:rPr>
          <w:rFonts w:hint="eastAsia" w:hAnsi="宋体"/>
          <w:szCs w:val="22"/>
        </w:rPr>
        <w:t>评标委员会由招标人自行组建。</w:t>
      </w:r>
    </w:p>
    <w:p>
      <w:pPr>
        <w:pStyle w:val="26"/>
        <w:spacing w:line="360" w:lineRule="exact"/>
        <w:rPr>
          <w:rFonts w:hAnsi="宋体" w:cs="Calibri"/>
          <w:b/>
          <w:bCs/>
          <w:szCs w:val="22"/>
        </w:rPr>
      </w:pPr>
      <w:r>
        <w:rPr>
          <w:rFonts w:hAnsi="宋体" w:cs="Calibri"/>
          <w:b/>
          <w:bCs/>
          <w:szCs w:val="22"/>
        </w:rPr>
        <w:t>三、投标文件的评审</w:t>
      </w:r>
    </w:p>
    <w:p>
      <w:pPr>
        <w:pStyle w:val="26"/>
        <w:spacing w:line="360" w:lineRule="exact"/>
        <w:ind w:firstLine="440" w:firstLineChars="200"/>
        <w:rPr>
          <w:rFonts w:hAnsi="宋体" w:cs="Calibri"/>
          <w:b/>
          <w:szCs w:val="22"/>
        </w:rPr>
      </w:pPr>
      <w:r>
        <w:rPr>
          <w:rFonts w:hAnsi="宋体" w:cs="Calibri"/>
          <w:b/>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6"/>
        <w:spacing w:line="360" w:lineRule="exact"/>
        <w:ind w:firstLine="440" w:firstLineChars="200"/>
        <w:rPr>
          <w:rFonts w:hAnsi="宋体" w:cs="Calibri"/>
          <w:szCs w:val="22"/>
        </w:rPr>
      </w:pPr>
      <w:r>
        <w:rPr>
          <w:rFonts w:hAnsi="宋体" w:cs="Calibri"/>
          <w:szCs w:val="22"/>
        </w:rPr>
        <w:t>评标委员会按以下原则对通过符合性审查的投标文件报价进行算术性修正：</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投标文件中的大写金额与小写金额不一致的，以大写金额为准；</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总价金额与依据单价（或各分项合计）计算出的结果不一致的，以单价金额（或各分项合计）为准修正总价，但单价金额小数点有明显错误的除外。</w:t>
      </w:r>
    </w:p>
    <w:p>
      <w:pPr>
        <w:pStyle w:val="26"/>
        <w:spacing w:line="360" w:lineRule="exact"/>
        <w:ind w:firstLine="440" w:firstLineChars="200"/>
        <w:rPr>
          <w:rFonts w:hAnsi="宋体" w:cs="Calibri"/>
          <w:b/>
          <w:szCs w:val="22"/>
        </w:rPr>
      </w:pPr>
      <w:r>
        <w:rPr>
          <w:rFonts w:hAnsi="宋体" w:cs="Calibri"/>
          <w:szCs w:val="22"/>
        </w:rPr>
        <w:t>★修正的价格经投标人书面确认后具有约束力。投标人不接受修正价格的，其投标作</w:t>
      </w:r>
      <w:r>
        <w:rPr>
          <w:rFonts w:hint="eastAsia" w:hAnsi="宋体" w:cs="Calibri"/>
          <w:b/>
          <w:bCs/>
        </w:rPr>
        <w:t>否决投标</w:t>
      </w:r>
      <w:r>
        <w:rPr>
          <w:rFonts w:hAnsi="宋体" w:cs="Calibri"/>
          <w:b/>
          <w:szCs w:val="22"/>
        </w:rPr>
        <w:t>处理</w:t>
      </w:r>
      <w:r>
        <w:rPr>
          <w:rFonts w:hAnsi="宋体" w:cs="Calibri"/>
          <w:szCs w:val="22"/>
        </w:rPr>
        <w:t>。</w:t>
      </w:r>
    </w:p>
    <w:p>
      <w:pPr>
        <w:pStyle w:val="26"/>
        <w:spacing w:line="360" w:lineRule="exact"/>
        <w:ind w:firstLine="440" w:firstLineChars="200"/>
        <w:rPr>
          <w:rFonts w:hAnsi="宋体" w:cs="Calibri"/>
          <w:b/>
          <w:szCs w:val="22"/>
        </w:rPr>
      </w:pPr>
      <w:r>
        <w:rPr>
          <w:rFonts w:hAnsi="宋体" w:cs="Calibri"/>
          <w:szCs w:val="22"/>
        </w:rPr>
        <w:t>当通过符合性评审的单位少于三家时（不包括三家），应由评标委员会确认是否具有竞争性，如果有竞争性，则评标继续进行。</w:t>
      </w:r>
    </w:p>
    <w:p>
      <w:pPr>
        <w:pStyle w:val="26"/>
        <w:spacing w:line="360" w:lineRule="exact"/>
        <w:ind w:firstLine="440" w:firstLineChars="200"/>
        <w:rPr>
          <w:rFonts w:hAnsi="宋体" w:cs="Calibri"/>
          <w:b/>
          <w:szCs w:val="22"/>
        </w:rPr>
      </w:pPr>
      <w:r>
        <w:rPr>
          <w:rFonts w:hAnsi="宋体" w:cs="Calibri"/>
          <w:b/>
          <w:szCs w:val="22"/>
        </w:rPr>
        <w:t>3.2 投标文件的澄清和补正</w:t>
      </w:r>
    </w:p>
    <w:p>
      <w:pPr>
        <w:pStyle w:val="26"/>
        <w:adjustRightInd w:val="0"/>
        <w:snapToGrid w:val="0"/>
        <w:spacing w:line="360" w:lineRule="exact"/>
        <w:ind w:firstLine="440" w:firstLineChars="200"/>
        <w:rPr>
          <w:rFonts w:hAnsi="宋体" w:cs="Calibri"/>
          <w:szCs w:val="22"/>
        </w:rPr>
      </w:pPr>
      <w:r>
        <w:rPr>
          <w:rFonts w:hAnsi="宋体" w:cs="Calibri"/>
          <w:szCs w:val="22"/>
        </w:rPr>
        <w:t>3.2.1 在评标过程中，评标委员会可以书面形式要求投标人对所提交的投标文件中不明确的内容进行书面澄清、说明或者补正。评标委员会不接受投标人主动提出的澄清、说明或补正。</w:t>
      </w:r>
    </w:p>
    <w:p>
      <w:pPr>
        <w:pStyle w:val="26"/>
        <w:adjustRightInd w:val="0"/>
        <w:snapToGrid w:val="0"/>
        <w:spacing w:line="360" w:lineRule="exact"/>
        <w:ind w:firstLine="440" w:firstLineChars="200"/>
        <w:rPr>
          <w:rFonts w:hAnsi="宋体" w:cs="Calibri"/>
          <w:szCs w:val="22"/>
        </w:rPr>
      </w:pPr>
      <w:r>
        <w:rPr>
          <w:rFonts w:hAnsi="宋体" w:cs="Calibri"/>
          <w:szCs w:val="22"/>
        </w:rPr>
        <w:t>3.2.2澄清、说明和补正不得改变投标文件的实质性内容（算术性错误修正的除外）。投标人的书面澄清、说明和补正属于投标文件的组成部分。</w:t>
      </w:r>
    </w:p>
    <w:p>
      <w:pPr>
        <w:pStyle w:val="26"/>
        <w:adjustRightInd w:val="0"/>
        <w:snapToGrid w:val="0"/>
        <w:spacing w:line="360" w:lineRule="exact"/>
        <w:ind w:firstLine="440" w:firstLineChars="200"/>
        <w:rPr>
          <w:rFonts w:hAnsi="宋体" w:cs="Calibri"/>
          <w:szCs w:val="22"/>
        </w:rPr>
      </w:pPr>
      <w:r>
        <w:rPr>
          <w:rFonts w:hAnsi="宋体" w:cs="Calibri"/>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6"/>
        <w:adjustRightInd w:val="0"/>
        <w:snapToGrid w:val="0"/>
        <w:spacing w:line="360" w:lineRule="exact"/>
        <w:ind w:firstLine="440" w:firstLineChars="200"/>
        <w:rPr>
          <w:rFonts w:hAnsi="宋体" w:cs="Calibri"/>
          <w:szCs w:val="22"/>
        </w:rPr>
      </w:pPr>
      <w:r>
        <w:rPr>
          <w:rFonts w:hint="eastAsia" w:hAnsi="宋体" w:cs="Calibri"/>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6"/>
        <w:adjustRightInd w:val="0"/>
        <w:snapToGrid w:val="0"/>
        <w:spacing w:line="360" w:lineRule="exact"/>
        <w:ind w:firstLine="440" w:firstLineChars="200"/>
        <w:rPr>
          <w:rFonts w:hAnsi="宋体" w:cs="Calibri"/>
          <w:szCs w:val="22"/>
        </w:rPr>
      </w:pPr>
      <w:r>
        <w:rPr>
          <w:rFonts w:hint="eastAsia" w:hAnsi="宋体"/>
          <w:b/>
          <w:color w:val="000000"/>
          <w:szCs w:val="22"/>
        </w:rPr>
        <w:t>每个投标人最终得分=商务报价分+资信及技术分</w:t>
      </w:r>
    </w:p>
    <w:p>
      <w:pPr>
        <w:pStyle w:val="26"/>
        <w:adjustRightInd w:val="0"/>
        <w:snapToGrid w:val="0"/>
        <w:spacing w:line="360" w:lineRule="exact"/>
        <w:ind w:firstLine="440" w:firstLineChars="200"/>
        <w:rPr>
          <w:rFonts w:hAnsi="宋体" w:cs="Arial"/>
          <w:b/>
          <w:szCs w:val="22"/>
        </w:rPr>
      </w:pPr>
      <w:r>
        <w:rPr>
          <w:rFonts w:hint="eastAsia" w:hAnsi="宋体" w:cs="Calibri"/>
          <w:szCs w:val="22"/>
        </w:rPr>
        <w:t>3.3.1商务报价分60分</w:t>
      </w:r>
    </w:p>
    <w:p>
      <w:pPr>
        <w:pStyle w:val="26"/>
        <w:adjustRightInd w:val="0"/>
        <w:snapToGrid w:val="0"/>
        <w:spacing w:line="360" w:lineRule="exact"/>
        <w:ind w:firstLine="440" w:firstLineChars="200"/>
        <w:rPr>
          <w:rFonts w:hAnsi="宋体" w:cs="Calibri"/>
          <w:szCs w:val="22"/>
        </w:rPr>
      </w:pPr>
      <w:r>
        <w:rPr>
          <w:rFonts w:hint="eastAsia" w:hAnsi="宋体"/>
          <w:szCs w:val="22"/>
        </w:rPr>
        <w:t>报价评分应在投标报价响应招标文件要求的基础上，取所有有效投标报价的算数平均值与次低价的算数平均值作为评标基准价，如有效投标报价的数量小于</w:t>
      </w:r>
      <w:r>
        <w:rPr>
          <w:rFonts w:hAnsi="宋体"/>
          <w:szCs w:val="22"/>
        </w:rPr>
        <w:t>4个，则评标基准价为所有有效投标报价的算数平均值与最低价的算数平均值。</w:t>
      </w:r>
      <w:r>
        <w:rPr>
          <w:rFonts w:hint="eastAsia" w:hAnsi="宋体" w:cs="Calibri"/>
          <w:szCs w:val="22"/>
        </w:rPr>
        <w:t>投标人的投标价等于评标基准价的得6</w:t>
      </w:r>
      <w:r>
        <w:rPr>
          <w:rFonts w:hAnsi="宋体" w:cs="Calibri"/>
          <w:szCs w:val="22"/>
        </w:rPr>
        <w:t>0</w:t>
      </w:r>
      <w:r>
        <w:rPr>
          <w:rFonts w:hint="eastAsia" w:hAnsi="宋体" w:cs="Calibri"/>
          <w:szCs w:val="22"/>
        </w:rPr>
        <w:t>分，每高于评标基准价</w:t>
      </w:r>
      <w:r>
        <w:rPr>
          <w:rFonts w:hAnsi="宋体" w:cs="Calibri"/>
          <w:szCs w:val="22"/>
        </w:rPr>
        <w:t>1%</w:t>
      </w:r>
      <w:r>
        <w:rPr>
          <w:rFonts w:hint="eastAsia" w:hAnsi="宋体" w:cs="Calibri"/>
          <w:szCs w:val="22"/>
        </w:rPr>
        <w:t>的扣</w:t>
      </w:r>
      <w:r>
        <w:rPr>
          <w:rFonts w:hAnsi="宋体" w:cs="Calibri"/>
          <w:szCs w:val="22"/>
        </w:rPr>
        <w:t>1</w:t>
      </w:r>
      <w:r>
        <w:rPr>
          <w:rFonts w:hint="eastAsia" w:hAnsi="宋体" w:cs="Calibri"/>
          <w:szCs w:val="22"/>
        </w:rPr>
        <w:t>分，每低于评标基准价</w:t>
      </w:r>
      <w:r>
        <w:rPr>
          <w:rFonts w:hAnsi="宋体" w:cs="Calibri"/>
          <w:szCs w:val="22"/>
        </w:rPr>
        <w:t>1%</w:t>
      </w:r>
      <w:r>
        <w:rPr>
          <w:rFonts w:hint="eastAsia" w:hAnsi="宋体" w:cs="Calibri"/>
          <w:szCs w:val="22"/>
        </w:rPr>
        <w:t>的扣</w:t>
      </w:r>
      <w:r>
        <w:rPr>
          <w:rFonts w:hAnsi="宋体" w:cs="Calibri"/>
          <w:szCs w:val="22"/>
        </w:rPr>
        <w:t>0.5</w:t>
      </w:r>
      <w:r>
        <w:rPr>
          <w:rFonts w:hint="eastAsia" w:hAnsi="宋体" w:cs="Calibri"/>
          <w:szCs w:val="22"/>
        </w:rPr>
        <w:t>分（不足</w:t>
      </w:r>
      <w:r>
        <w:rPr>
          <w:rFonts w:hAnsi="宋体" w:cs="Calibri"/>
          <w:szCs w:val="22"/>
        </w:rPr>
        <w:t>1</w:t>
      </w:r>
      <w:r>
        <w:rPr>
          <w:rFonts w:hint="eastAsia" w:hAnsi="宋体" w:cs="Calibri"/>
          <w:szCs w:val="22"/>
        </w:rPr>
        <w:t>个百分点按插值法计算，小数点后保留二位，四舍五入，商务分最低得分为4</w:t>
      </w:r>
      <w:r>
        <w:rPr>
          <w:rFonts w:hAnsi="宋体" w:cs="Calibri"/>
          <w:szCs w:val="22"/>
        </w:rPr>
        <w:t>0</w:t>
      </w:r>
      <w:r>
        <w:rPr>
          <w:rFonts w:hint="eastAsia" w:hAnsi="宋体" w:cs="Calibri"/>
          <w:szCs w:val="22"/>
        </w:rPr>
        <w:t>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此项由评标委员会集体核实后统一打分。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2、资信及技术评分   0-40分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该评分分值由评标委员会成员独立打分（具体分值设定详见下表），小数点后保留</w:t>
      </w:r>
      <w:r>
        <w:rPr>
          <w:rFonts w:hAnsi="宋体" w:cs="Calibri"/>
          <w:szCs w:val="22"/>
        </w:rPr>
        <w:t>1</w:t>
      </w:r>
      <w:r>
        <w:rPr>
          <w:rFonts w:hint="eastAsia" w:hAnsi="宋体" w:cs="Calibri"/>
          <w:szCs w:val="22"/>
        </w:rPr>
        <w:t>位小数。每个投标人的最终资信及技术得分为评标委员会打分的算术平均值（小数点后保留</w:t>
      </w:r>
      <w:r>
        <w:rPr>
          <w:rFonts w:hAnsi="宋体" w:cs="Calibri"/>
          <w:szCs w:val="22"/>
        </w:rPr>
        <w:t>2</w:t>
      </w:r>
      <w:r>
        <w:rPr>
          <w:rFonts w:hint="eastAsia" w:hAnsi="宋体" w:cs="Calibri"/>
          <w:szCs w:val="22"/>
        </w:rPr>
        <w:t>位，第三位四舍五入）。</w:t>
      </w:r>
    </w:p>
    <w:p>
      <w:pPr>
        <w:pStyle w:val="26"/>
        <w:adjustRightInd w:val="0"/>
        <w:snapToGrid w:val="0"/>
        <w:spacing w:line="360" w:lineRule="exact"/>
        <w:ind w:firstLine="440" w:firstLineChars="200"/>
        <w:rPr>
          <w:rFonts w:hAnsi="宋体" w:cs="Calibri"/>
          <w:szCs w:val="22"/>
        </w:rPr>
      </w:pPr>
      <w:r>
        <w:rPr>
          <w:rFonts w:hint="eastAsia" w:hAnsi="宋体" w:cs="Calibri"/>
          <w:szCs w:val="22"/>
        </w:rPr>
        <w:t>资信及技术评分分值设定标准</w:t>
      </w:r>
    </w:p>
    <w:tbl>
      <w:tblPr>
        <w:tblStyle w:val="4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宋体" w:hAnsi="宋体"/>
              </w:rPr>
            </w:pPr>
            <w:r>
              <w:rPr>
                <w:rFonts w:hint="eastAsia" w:ascii="宋体" w:hAnsi="宋体"/>
                <w:sz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宋体" w:hAnsi="宋体"/>
              </w:rPr>
            </w:pPr>
            <w:r>
              <w:rPr>
                <w:rFonts w:hint="eastAsia" w:ascii="宋体" w:hAnsi="宋体"/>
                <w:sz w:val="22"/>
              </w:rPr>
              <w:t>评分因素</w:t>
            </w:r>
          </w:p>
          <w:p>
            <w:pPr>
              <w:snapToGrid w:val="0"/>
              <w:spacing w:line="560" w:lineRule="exact"/>
              <w:jc w:val="center"/>
              <w:rPr>
                <w:rFonts w:ascii="宋体" w:hAnsi="宋体"/>
              </w:rPr>
            </w:pPr>
            <w:r>
              <w:rPr>
                <w:rFonts w:hint="eastAsia" w:ascii="宋体" w:hAnsi="宋体"/>
                <w:sz w:val="22"/>
              </w:rPr>
              <w:t>及分值权重</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sz w:val="22"/>
              </w:rPr>
              <w:t>评审因素子项</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rPr>
            </w:pPr>
            <w:r>
              <w:rPr>
                <w:rFonts w:hint="eastAsia" w:ascii="宋体" w:hAnsi="宋体"/>
                <w:sz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restart"/>
            <w:vAlign w:val="center"/>
          </w:tcPr>
          <w:p>
            <w:pPr>
              <w:snapToGrid w:val="0"/>
              <w:spacing w:line="560" w:lineRule="exact"/>
              <w:jc w:val="center"/>
              <w:rPr>
                <w:rFonts w:ascii="宋体" w:hAnsi="宋体"/>
                <w:color w:val="000000"/>
              </w:rPr>
            </w:pPr>
            <w:r>
              <w:rPr>
                <w:rFonts w:hint="eastAsia" w:ascii="宋体" w:hAnsi="宋体"/>
                <w:color w:val="000000"/>
                <w:sz w:val="22"/>
              </w:rPr>
              <w:t>1</w:t>
            </w:r>
          </w:p>
        </w:tc>
        <w:tc>
          <w:tcPr>
            <w:tcW w:w="1494" w:type="dxa"/>
            <w:vMerge w:val="restart"/>
            <w:vAlign w:val="center"/>
          </w:tcPr>
          <w:p>
            <w:pPr>
              <w:spacing w:line="560" w:lineRule="exact"/>
              <w:jc w:val="center"/>
              <w:rPr>
                <w:rFonts w:ascii="宋体" w:hAnsi="宋体"/>
                <w:color w:val="000000"/>
              </w:rPr>
            </w:pPr>
            <w:r>
              <w:rPr>
                <w:rFonts w:hint="eastAsia" w:ascii="宋体" w:hAnsi="宋体"/>
                <w:color w:val="000000"/>
                <w:sz w:val="22"/>
              </w:rPr>
              <w:t>技术标评分（</w:t>
            </w:r>
            <w:r>
              <w:rPr>
                <w:rFonts w:hint="eastAsia" w:ascii="宋体" w:hAnsi="宋体"/>
                <w:bCs/>
                <w:color w:val="000000"/>
                <w:sz w:val="22"/>
              </w:rPr>
              <w:t>满分40分）</w:t>
            </w: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总体性能</w:t>
            </w:r>
          </w:p>
        </w:tc>
        <w:tc>
          <w:tcPr>
            <w:tcW w:w="3119" w:type="dxa"/>
            <w:tcBorders>
              <w:bottom w:val="single" w:color="auto" w:sz="4" w:space="0"/>
            </w:tcBorders>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由评委根据招标文件中的要求及投标文件中提供的设备技术参数、设备的性能、产品适用性描述等进行评审。</w:t>
            </w:r>
          </w:p>
        </w:tc>
        <w:tc>
          <w:tcPr>
            <w:tcW w:w="1417" w:type="dxa"/>
            <w:tcBorders>
              <w:bottom w:val="single" w:color="auto" w:sz="4" w:space="0"/>
            </w:tcBorders>
            <w:vAlign w:val="center"/>
          </w:tcPr>
          <w:p>
            <w:pPr>
              <w:spacing w:line="560" w:lineRule="exact"/>
              <w:ind w:firstLine="331" w:firstLineChars="150"/>
              <w:rPr>
                <w:rFonts w:ascii="宋体" w:hAnsi="宋体"/>
                <w:b/>
                <w:bCs/>
                <w:color w:val="000000"/>
              </w:rPr>
            </w:pPr>
            <w:r>
              <w:rPr>
                <w:rFonts w:hint="eastAsia" w:ascii="宋体" w:hAnsi="宋体"/>
                <w:b/>
                <w:bCs/>
                <w:color w:val="000000"/>
                <w:sz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材料、配件的选用的综合评价</w:t>
            </w:r>
          </w:p>
        </w:tc>
        <w:tc>
          <w:tcPr>
            <w:tcW w:w="3119" w:type="dxa"/>
            <w:tcBorders>
              <w:bottom w:val="single" w:color="auto" w:sz="4" w:space="0"/>
            </w:tcBorders>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由评委根据招标文件中的要求及投标文件中提供的产品使用的材料等的品牌、规格参数及生产厂家等进行评审。</w:t>
            </w:r>
          </w:p>
        </w:tc>
        <w:tc>
          <w:tcPr>
            <w:tcW w:w="1417" w:type="dxa"/>
            <w:tcBorders>
              <w:bottom w:val="single" w:color="auto" w:sz="4" w:space="0"/>
            </w:tcBorders>
            <w:vAlign w:val="center"/>
          </w:tcPr>
          <w:p>
            <w:pPr>
              <w:spacing w:line="560" w:lineRule="exact"/>
              <w:jc w:val="center"/>
              <w:rPr>
                <w:rFonts w:ascii="宋体" w:hAnsi="宋体"/>
                <w:b/>
                <w:color w:val="000000"/>
              </w:rPr>
            </w:pPr>
            <w:r>
              <w:rPr>
                <w:rFonts w:hint="eastAsia" w:ascii="宋体" w:hAnsi="宋体"/>
                <w:b/>
                <w:color w:val="000000"/>
                <w:sz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施工方案的合理性</w:t>
            </w:r>
          </w:p>
        </w:tc>
        <w:tc>
          <w:tcPr>
            <w:tcW w:w="3119" w:type="dxa"/>
          </w:tcPr>
          <w:p>
            <w:pPr>
              <w:spacing w:line="560" w:lineRule="exact"/>
              <w:jc w:val="left"/>
              <w:rPr>
                <w:rFonts w:ascii="宋体" w:hAnsi="宋体"/>
                <w:color w:val="000000"/>
              </w:rPr>
            </w:pPr>
            <w:r>
              <w:rPr>
                <w:rFonts w:hint="eastAsia" w:ascii="宋体" w:hAnsi="宋体"/>
                <w:color w:val="000000"/>
                <w:szCs w:val="21"/>
              </w:rPr>
              <w:t>由评委根据招标文件中的施工方案等进行评审。</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vAlign w:val="center"/>
          </w:tcPr>
          <w:p>
            <w:pPr>
              <w:spacing w:line="560" w:lineRule="exact"/>
              <w:jc w:val="center"/>
              <w:rPr>
                <w:rFonts w:ascii="宋体" w:hAnsi="宋体"/>
                <w:color w:val="000000"/>
              </w:rPr>
            </w:pPr>
            <w:r>
              <w:rPr>
                <w:rFonts w:hint="eastAsia" w:ascii="宋体" w:hAnsi="宋体"/>
                <w:color w:val="000000"/>
                <w:sz w:val="22"/>
              </w:rPr>
              <w:t>质保、售后服务</w:t>
            </w:r>
          </w:p>
        </w:tc>
        <w:tc>
          <w:tcPr>
            <w:tcW w:w="3119" w:type="dxa"/>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由评委根据招标文件中的要求及投标文件中提供质保期内的维保服务方案、质量保证、质量问题处罚承诺和主要备品备件供应价格等进行评审。</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vAlign w:val="center"/>
          </w:tcPr>
          <w:p>
            <w:pPr>
              <w:spacing w:line="560" w:lineRule="exact"/>
              <w:jc w:val="center"/>
              <w:rPr>
                <w:rFonts w:ascii="宋体" w:hAnsi="宋体"/>
                <w:color w:val="000000"/>
              </w:rPr>
            </w:pPr>
            <w:r>
              <w:rPr>
                <w:rFonts w:hint="eastAsia" w:ascii="宋体" w:hAnsi="宋体"/>
                <w:color w:val="000000"/>
                <w:sz w:val="22"/>
              </w:rPr>
              <w:t>与招标文件的其它一般技术条款是否有负偏离</w:t>
            </w:r>
          </w:p>
        </w:tc>
        <w:tc>
          <w:tcPr>
            <w:tcW w:w="3119" w:type="dxa"/>
          </w:tcPr>
          <w:p>
            <w:pPr>
              <w:spacing w:line="560" w:lineRule="exact"/>
              <w:jc w:val="left"/>
              <w:rPr>
                <w:rFonts w:ascii="宋体" w:hAnsi="宋体"/>
                <w:color w:val="000000"/>
              </w:rPr>
            </w:pPr>
            <w:r>
              <w:rPr>
                <w:rFonts w:hint="eastAsia" w:ascii="宋体" w:hAnsi="宋体"/>
                <w:color w:val="000000"/>
                <w:sz w:val="22"/>
              </w:rPr>
              <w:t>每一项负偏离扣0.5分，扣完为止</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663" w:type="dxa"/>
            <w:vMerge w:val="continue"/>
            <w:tcBorders>
              <w:bottom w:val="single" w:color="auto" w:sz="4" w:space="0"/>
            </w:tcBorders>
            <w:vAlign w:val="center"/>
          </w:tcPr>
          <w:p>
            <w:pPr>
              <w:snapToGrid w:val="0"/>
              <w:spacing w:line="560" w:lineRule="exact"/>
              <w:jc w:val="center"/>
              <w:rPr>
                <w:rFonts w:ascii="宋体" w:hAnsi="宋体"/>
                <w:color w:val="000000"/>
              </w:rPr>
            </w:pPr>
          </w:p>
        </w:tc>
        <w:tc>
          <w:tcPr>
            <w:tcW w:w="1494" w:type="dxa"/>
            <w:vMerge w:val="continue"/>
            <w:tcBorders>
              <w:bottom w:val="single" w:color="auto" w:sz="4" w:space="0"/>
            </w:tcBorders>
            <w:vAlign w:val="center"/>
          </w:tcPr>
          <w:p>
            <w:pPr>
              <w:spacing w:line="560" w:lineRule="exact"/>
              <w:rPr>
                <w:rFonts w:ascii="宋体" w:hAnsi="宋体"/>
                <w:color w:val="000000"/>
              </w:rPr>
            </w:pPr>
          </w:p>
        </w:tc>
        <w:tc>
          <w:tcPr>
            <w:tcW w:w="7087" w:type="dxa"/>
            <w:gridSpan w:val="3"/>
            <w:tcBorders>
              <w:bottom w:val="single" w:color="auto" w:sz="4" w:space="0"/>
            </w:tcBorders>
            <w:vAlign w:val="center"/>
          </w:tcPr>
          <w:p>
            <w:pPr>
              <w:spacing w:line="560" w:lineRule="exact"/>
              <w:ind w:left="440" w:hanging="440" w:hangingChars="200"/>
              <w:jc w:val="left"/>
              <w:rPr>
                <w:rFonts w:ascii="宋体" w:hAnsi="宋体"/>
                <w:color w:val="000000"/>
              </w:rPr>
            </w:pPr>
            <w:r>
              <w:rPr>
                <w:rFonts w:hint="eastAsia" w:ascii="宋体" w:hAnsi="宋体"/>
                <w:color w:val="000000"/>
                <w:sz w:val="22"/>
              </w:rPr>
              <w:t>注：1、技术标的评审由各评委根据招标文件技术要求，横向比较各投标文件的相关技术资料，依据各评分因素，逐项独立打分，保留到小数点后2位</w:t>
            </w:r>
          </w:p>
          <w:p>
            <w:pPr>
              <w:spacing w:line="560" w:lineRule="exact"/>
              <w:jc w:val="left"/>
              <w:rPr>
                <w:rFonts w:ascii="宋体" w:hAnsi="宋体"/>
                <w:color w:val="000000"/>
              </w:rPr>
            </w:pPr>
            <w:r>
              <w:rPr>
                <w:rFonts w:hint="eastAsia" w:ascii="宋体" w:hAnsi="宋体"/>
                <w:color w:val="000000"/>
                <w:sz w:val="22"/>
              </w:rPr>
              <w:t xml:space="preserve">    2、单项不满足招标文件要求的或缺项、漏项，该子项得0分。</w:t>
            </w:r>
          </w:p>
          <w:p>
            <w:pPr>
              <w:spacing w:line="560" w:lineRule="exact"/>
              <w:ind w:firstLine="440" w:firstLineChars="200"/>
              <w:jc w:val="left"/>
              <w:rPr>
                <w:rFonts w:ascii="宋体" w:hAnsi="宋体"/>
                <w:b/>
                <w:color w:val="000000"/>
              </w:rPr>
            </w:pPr>
            <w:r>
              <w:rPr>
                <w:rFonts w:hint="eastAsia" w:ascii="宋体" w:hAnsi="宋体"/>
                <w:color w:val="000000"/>
                <w:sz w:val="22"/>
              </w:rPr>
              <w:t>3、</w:t>
            </w:r>
            <w:r>
              <w:rPr>
                <w:rFonts w:ascii="宋体" w:hAnsi="宋体"/>
                <w:color w:val="000000"/>
                <w:sz w:val="22"/>
              </w:rPr>
              <w:t>如经查实弄虚作假，一切后果投标人自负。</w:t>
            </w:r>
          </w:p>
        </w:tc>
      </w:tr>
    </w:tbl>
    <w:p>
      <w:pPr>
        <w:pStyle w:val="26"/>
        <w:adjustRightInd w:val="0"/>
        <w:snapToGrid w:val="0"/>
        <w:spacing w:line="360" w:lineRule="exact"/>
        <w:ind w:firstLine="440" w:firstLineChars="200"/>
        <w:rPr>
          <w:rFonts w:hAnsi="宋体" w:cs="Calibri"/>
          <w:szCs w:val="22"/>
        </w:rPr>
      </w:pPr>
    </w:p>
    <w:p>
      <w:pPr>
        <w:pStyle w:val="26"/>
        <w:spacing w:line="360" w:lineRule="exact"/>
        <w:rPr>
          <w:rFonts w:hAnsi="宋体" w:cs="Calibri"/>
          <w:b/>
          <w:szCs w:val="22"/>
        </w:rPr>
      </w:pPr>
      <w:r>
        <w:rPr>
          <w:rFonts w:hAnsi="宋体" w:cs="Calibri"/>
          <w:b/>
          <w:szCs w:val="22"/>
        </w:rPr>
        <w:t>3.4推荐中标候选人</w:t>
      </w:r>
    </w:p>
    <w:p>
      <w:pPr>
        <w:pStyle w:val="26"/>
        <w:adjustRightInd w:val="0"/>
        <w:snapToGrid w:val="0"/>
        <w:spacing w:line="360" w:lineRule="exact"/>
        <w:ind w:firstLine="440" w:firstLineChars="200"/>
        <w:rPr>
          <w:rFonts w:hAnsi="宋体" w:cs="Calibri"/>
          <w:szCs w:val="22"/>
        </w:rPr>
      </w:pPr>
      <w:r>
        <w:rPr>
          <w:rFonts w:hAnsi="宋体" w:cs="Calibri"/>
          <w:szCs w:val="22"/>
        </w:rPr>
        <w:t>3.4.1当有效投标文件大于等于二名时，评标委员会</w:t>
      </w:r>
      <w:r>
        <w:rPr>
          <w:rFonts w:hint="eastAsia" w:hAnsi="宋体" w:cs="Calibri"/>
          <w:szCs w:val="22"/>
        </w:rPr>
        <w:t>得分最高、次高的投标人为中标候选人（如果得分相同则按投标人报价从低到高顺序推荐为中标候选人，如果投标报价也相同，则抽签决定）。</w:t>
      </w:r>
    </w:p>
    <w:p>
      <w:pPr>
        <w:pStyle w:val="26"/>
        <w:adjustRightInd w:val="0"/>
        <w:snapToGrid w:val="0"/>
        <w:spacing w:line="360" w:lineRule="exact"/>
        <w:ind w:firstLine="440" w:firstLineChars="200"/>
        <w:rPr>
          <w:rFonts w:hAnsi="宋体" w:cs="Calibri"/>
          <w:szCs w:val="22"/>
        </w:rPr>
      </w:pPr>
      <w:r>
        <w:rPr>
          <w:rFonts w:hAnsi="宋体" w:cs="Calibri"/>
          <w:szCs w:val="22"/>
        </w:rPr>
        <w:t>3.4.2当有效投标文件只有一名时，则由评标委员会确定是否推荐为中标候选人。</w:t>
      </w:r>
    </w:p>
    <w:p>
      <w:pPr>
        <w:pStyle w:val="26"/>
        <w:spacing w:line="360" w:lineRule="exact"/>
        <w:rPr>
          <w:rFonts w:hAnsi="宋体" w:cs="Calibri"/>
          <w:b/>
          <w:szCs w:val="22"/>
        </w:rPr>
      </w:pPr>
      <w:r>
        <w:rPr>
          <w:rFonts w:hAnsi="宋体" w:cs="Calibri"/>
          <w:b/>
          <w:szCs w:val="22"/>
        </w:rPr>
        <w:t>3.</w:t>
      </w:r>
      <w:r>
        <w:rPr>
          <w:rFonts w:hint="eastAsia" w:hAnsi="宋体" w:cs="Calibri"/>
          <w:b/>
          <w:szCs w:val="22"/>
        </w:rPr>
        <w:t>5</w:t>
      </w:r>
      <w:r>
        <w:rPr>
          <w:rFonts w:hAnsi="宋体" w:cs="Calibri"/>
          <w:b/>
          <w:szCs w:val="22"/>
        </w:rPr>
        <w:t>评标报告</w:t>
      </w:r>
    </w:p>
    <w:p>
      <w:pPr>
        <w:pStyle w:val="26"/>
        <w:adjustRightInd w:val="0"/>
        <w:snapToGrid w:val="0"/>
        <w:spacing w:line="360" w:lineRule="exact"/>
        <w:ind w:firstLine="440" w:firstLineChars="200"/>
        <w:rPr>
          <w:rFonts w:hAnsi="宋体" w:cs="Calibri"/>
          <w:szCs w:val="22"/>
        </w:rPr>
      </w:pPr>
      <w:r>
        <w:rPr>
          <w:rFonts w:hAnsi="宋体" w:cs="Calibri"/>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6"/>
        <w:spacing w:line="360" w:lineRule="exact"/>
        <w:rPr>
          <w:rFonts w:hAnsi="宋体" w:cs="Calibri"/>
          <w:b/>
          <w:szCs w:val="22"/>
        </w:rPr>
      </w:pPr>
      <w:r>
        <w:rPr>
          <w:rFonts w:hAnsi="宋体" w:cs="Calibri"/>
          <w:b/>
          <w:szCs w:val="22"/>
        </w:rPr>
        <w:t>四、</w:t>
      </w:r>
      <w:r>
        <w:rPr>
          <w:rFonts w:hint="eastAsia" w:hAnsi="宋体" w:cs="Calibri"/>
          <w:b/>
          <w:szCs w:val="22"/>
        </w:rPr>
        <w:t>定</w:t>
      </w:r>
      <w:r>
        <w:rPr>
          <w:rFonts w:hAnsi="宋体" w:cs="Calibri"/>
          <w:b/>
          <w:szCs w:val="22"/>
        </w:rPr>
        <w:t>标</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1</w:t>
      </w:r>
      <w:r>
        <w:rPr>
          <w:rFonts w:hAnsi="宋体" w:cs="Calibri"/>
          <w:szCs w:val="22"/>
        </w:rPr>
        <w:t>招标人将确定评标委员会推荐的</w:t>
      </w:r>
      <w:r>
        <w:rPr>
          <w:rFonts w:hint="eastAsia" w:hAnsi="宋体" w:cs="Calibri"/>
          <w:szCs w:val="22"/>
        </w:rPr>
        <w:t>第一</w:t>
      </w:r>
      <w:r>
        <w:rPr>
          <w:rFonts w:hAnsi="宋体" w:cs="Calibri"/>
          <w:szCs w:val="22"/>
        </w:rPr>
        <w:t>中标候选人为中标人。</w:t>
      </w:r>
      <w:r>
        <w:rPr>
          <w:rFonts w:hint="eastAsia" w:hAnsi="宋体" w:cs="Calibri"/>
          <w:szCs w:val="22"/>
        </w:rPr>
        <w:t>第一</w:t>
      </w:r>
      <w:r>
        <w:rPr>
          <w:rFonts w:hAnsi="宋体" w:cs="Calibri"/>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szCs w:val="22"/>
        </w:rPr>
      </w:pPr>
      <w:r>
        <w:rPr>
          <w:rFonts w:hint="eastAsia" w:hAnsi="宋体" w:cs="Calibri"/>
          <w:szCs w:val="22"/>
        </w:rPr>
        <w:t>4.2</w:t>
      </w:r>
      <w:r>
        <w:rPr>
          <w:rFonts w:hAnsi="宋体" w:cs="Calibri"/>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3</w:t>
      </w:r>
      <w:r>
        <w:rPr>
          <w:rFonts w:hAnsi="宋体" w:cs="Calibri"/>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b/>
          <w:szCs w:val="22"/>
        </w:rPr>
      </w:pPr>
      <w:r>
        <w:rPr>
          <w:rFonts w:hint="eastAsia" w:hAnsi="宋体" w:cs="Calibri"/>
          <w:b/>
          <w:szCs w:val="22"/>
        </w:rPr>
        <w:t>4.4招标人对评标、定标结果不负责解释。</w:t>
      </w:r>
    </w:p>
    <w:p>
      <w:pPr>
        <w:widowControl/>
        <w:jc w:val="left"/>
      </w:pPr>
      <w:r>
        <w:br w:type="page"/>
      </w:r>
    </w:p>
    <w:p>
      <w:pPr>
        <w:pStyle w:val="2"/>
        <w:spacing w:before="0" w:after="0"/>
      </w:pPr>
      <w:r>
        <w:t>第</w:t>
      </w:r>
      <w:r>
        <w:rPr>
          <w:rFonts w:hint="eastAsia"/>
        </w:rPr>
        <w:t>六</w:t>
      </w:r>
      <w:r>
        <w:t>章  投标文件格式</w:t>
      </w:r>
      <w:bookmarkEnd w:id="7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5" w:name="_Toc171421958"/>
      <w:r>
        <w:rPr>
          <w:rFonts w:cs="Calibri"/>
          <w:color w:val="000000"/>
        </w:rPr>
        <w:t>封面</w:t>
      </w:r>
      <w:bookmarkEnd w:id="7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6"/>
        <w:spacing w:afterLines="50" w:line="360" w:lineRule="auto"/>
        <w:jc w:val="left"/>
        <w:rPr>
          <w:rFonts w:hAnsi="宋体" w:cs="宋体"/>
          <w:b/>
        </w:rPr>
      </w:pPr>
      <w:r>
        <w:rPr>
          <w:rFonts w:hAnsi="宋体" w:cs="宋体"/>
          <w:b/>
        </w:rPr>
        <w:br w:type="page"/>
      </w:r>
      <w:bookmarkStart w:id="76" w:name="_Toc133214309"/>
      <w:bookmarkStart w:id="77" w:name="_Toc133470542"/>
      <w:bookmarkStart w:id="78" w:name="_Toc133214102"/>
      <w:bookmarkStart w:id="79" w:name="_Toc144265958"/>
      <w:bookmarkStart w:id="80" w:name="_Toc137373398"/>
    </w:p>
    <w:p>
      <w:pPr>
        <w:pStyle w:val="26"/>
        <w:spacing w:afterLines="50" w:line="360" w:lineRule="auto"/>
        <w:jc w:val="left"/>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6"/>
        <w:spacing w:afterLines="50" w:line="360" w:lineRule="auto"/>
        <w:jc w:val="center"/>
        <w:rPr>
          <w:rFonts w:hAnsi="宋体" w:cs="宋体"/>
        </w:rPr>
      </w:pPr>
    </w:p>
    <w:p>
      <w:pPr>
        <w:pStyle w:val="26"/>
        <w:numPr>
          <w:ilvl w:val="1"/>
          <w:numId w:val="7"/>
        </w:numPr>
        <w:snapToGrid w:val="0"/>
        <w:spacing w:beforeLines="50" w:line="360" w:lineRule="exact"/>
        <w:rPr>
          <w:rFonts w:hAnsi="宋体" w:cs="宋体"/>
          <w:b/>
          <w:szCs w:val="22"/>
        </w:rPr>
      </w:pPr>
      <w:r>
        <w:rPr>
          <w:rFonts w:hint="eastAsia" w:hAnsi="宋体" w:cs="宋体"/>
          <w:b/>
          <w:szCs w:val="22"/>
        </w:rPr>
        <w:t>总则</w:t>
      </w:r>
    </w:p>
    <w:p>
      <w:pPr>
        <w:pStyle w:val="26"/>
        <w:numPr>
          <w:ilvl w:val="1"/>
          <w:numId w:val="8"/>
        </w:numPr>
        <w:snapToGrid w:val="0"/>
        <w:spacing w:beforeLines="50" w:line="360" w:lineRule="exact"/>
        <w:rPr>
          <w:rFonts w:hAnsi="宋体" w:cs="宋体"/>
          <w:szCs w:val="22"/>
        </w:rPr>
      </w:pPr>
      <w:r>
        <w:rPr>
          <w:rFonts w:hint="eastAsia" w:hAnsi="宋体" w:cs="宋体"/>
          <w:szCs w:val="22"/>
        </w:rPr>
        <w:t>一旦投标人对本投标报价表作出报价并为招标人所接纳后，本投标报价表就成为一份具有约束力的合同文件的一部分，用来作为合同付款的依据。</w:t>
      </w:r>
    </w:p>
    <w:p>
      <w:pPr>
        <w:pStyle w:val="26"/>
        <w:numPr>
          <w:ilvl w:val="1"/>
          <w:numId w:val="8"/>
        </w:numPr>
        <w:snapToGrid w:val="0"/>
        <w:spacing w:beforeLines="50" w:line="360" w:lineRule="exact"/>
        <w:rPr>
          <w:rFonts w:hAnsi="宋体" w:cs="宋体"/>
          <w:szCs w:val="22"/>
        </w:rPr>
      </w:pPr>
      <w:r>
        <w:rPr>
          <w:rFonts w:hint="eastAsia" w:hAnsi="宋体" w:cs="宋体"/>
          <w:szCs w:val="22"/>
        </w:rPr>
        <w:t>报价应包含本项目所有税项。如买方根据法规和国家有关规定获减免税或退税，利益完全归买方。</w:t>
      </w:r>
    </w:p>
    <w:p>
      <w:pPr>
        <w:pStyle w:val="26"/>
        <w:numPr>
          <w:ilvl w:val="1"/>
          <w:numId w:val="8"/>
        </w:numPr>
        <w:snapToGrid w:val="0"/>
        <w:spacing w:beforeLines="50" w:line="360" w:lineRule="exact"/>
        <w:rPr>
          <w:rFonts w:hAnsi="宋体" w:cs="宋体"/>
          <w:szCs w:val="22"/>
        </w:rPr>
      </w:pPr>
      <w:r>
        <w:rPr>
          <w:rFonts w:hint="eastAsia" w:hAnsi="宋体" w:cs="宋体"/>
          <w:szCs w:val="22"/>
        </w:rPr>
        <w:t>投标人应仔细阅读所有招标文件，填报自己理解并认为正确的报价。除合同规定的调整外，投标人对实际工作及工作量的差异的索赔将不获考虑。</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本投标报价表中所有金额和单价以人民币结算。</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本投标报价表中的金额应包括在项目整个实施过程中，根据合同所需要的所有成本和费用。</w:t>
      </w:r>
    </w:p>
    <w:p>
      <w:pPr>
        <w:pStyle w:val="26"/>
        <w:numPr>
          <w:ilvl w:val="1"/>
          <w:numId w:val="8"/>
        </w:numPr>
        <w:snapToGrid w:val="0"/>
        <w:spacing w:beforeLines="50" w:line="360" w:lineRule="exact"/>
        <w:rPr>
          <w:rFonts w:hAnsi="宋体" w:cs="宋体"/>
          <w:szCs w:val="22"/>
        </w:rPr>
      </w:pPr>
      <w:r>
        <w:rPr>
          <w:rFonts w:hint="eastAsia" w:hAnsi="宋体" w:cs="宋体"/>
          <w:szCs w:val="22"/>
        </w:rPr>
        <w:t>本总则上列各条中提及的“投标人”在合同执行过程中应作为“卖方”解释。</w:t>
      </w:r>
    </w:p>
    <w:p>
      <w:pPr>
        <w:pStyle w:val="26"/>
        <w:numPr>
          <w:ilvl w:val="1"/>
          <w:numId w:val="7"/>
        </w:numPr>
        <w:snapToGrid w:val="0"/>
        <w:spacing w:beforeLines="50" w:line="360" w:lineRule="exact"/>
        <w:rPr>
          <w:rFonts w:hAnsi="宋体" w:cs="宋体"/>
          <w:szCs w:val="22"/>
        </w:rPr>
      </w:pPr>
      <w:r>
        <w:rPr>
          <w:rFonts w:hint="eastAsia" w:hAnsi="宋体" w:cs="宋体"/>
          <w:szCs w:val="22"/>
        </w:rPr>
        <w:t>投标报价表包含以下各表</w:t>
      </w:r>
    </w:p>
    <w:bookmarkEnd w:id="76"/>
    <w:bookmarkEnd w:id="77"/>
    <w:bookmarkEnd w:id="78"/>
    <w:bookmarkEnd w:id="79"/>
    <w:bookmarkEnd w:id="80"/>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3"/>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1" w:name="_Toc133470544"/>
      <w:bookmarkStart w:id="82" w:name="_Toc137373399"/>
      <w:bookmarkStart w:id="83" w:name="_Toc133214310"/>
      <w:bookmarkStart w:id="84" w:name="_Toc133214103"/>
    </w:p>
    <w:p>
      <w:pPr>
        <w:spacing w:line="360" w:lineRule="auto"/>
        <w:jc w:val="center"/>
        <w:rPr>
          <w:rFonts w:ascii="宋体" w:hAnsi="宋体" w:cs="宋体"/>
          <w:b/>
          <w:sz w:val="32"/>
          <w:szCs w:val="32"/>
        </w:rPr>
      </w:pPr>
      <w:bookmarkStart w:id="85" w:name="_Toc144265959"/>
      <w:r>
        <w:rPr>
          <w:rFonts w:hint="eastAsia" w:ascii="宋体" w:hAnsi="宋体" w:cs="宋体"/>
          <w:b/>
          <w:sz w:val="32"/>
          <w:szCs w:val="32"/>
        </w:rPr>
        <w:br w:type="page"/>
      </w:r>
    </w:p>
    <w:bookmarkEnd w:id="81"/>
    <w:bookmarkEnd w:id="82"/>
    <w:bookmarkEnd w:id="83"/>
    <w:bookmarkEnd w:id="84"/>
    <w:bookmarkEnd w:id="8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6"/>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6"/>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r>
              <w:rPr>
                <w:rFonts w:hAnsi="宋体"/>
              </w:rPr>
              <w:t>序号</w:t>
            </w:r>
          </w:p>
        </w:tc>
        <w:tc>
          <w:tcPr>
            <w:tcW w:w="900" w:type="dxa"/>
            <w:vAlign w:val="center"/>
          </w:tcPr>
          <w:p>
            <w:pPr>
              <w:pStyle w:val="26"/>
              <w:adjustRightInd w:val="0"/>
              <w:snapToGrid w:val="0"/>
              <w:jc w:val="center"/>
              <w:rPr>
                <w:rFonts w:hAnsi="宋体"/>
              </w:rPr>
            </w:pPr>
            <w:r>
              <w:rPr>
                <w:rFonts w:hAnsi="宋体"/>
              </w:rPr>
              <w:t>内容</w:t>
            </w:r>
          </w:p>
        </w:tc>
        <w:tc>
          <w:tcPr>
            <w:tcW w:w="3510" w:type="dxa"/>
            <w:vAlign w:val="center"/>
          </w:tcPr>
          <w:p>
            <w:pPr>
              <w:pStyle w:val="26"/>
              <w:adjustRightInd w:val="0"/>
              <w:snapToGrid w:val="0"/>
              <w:jc w:val="center"/>
              <w:rPr>
                <w:rFonts w:hAnsi="宋体"/>
              </w:rPr>
            </w:pPr>
            <w:r>
              <w:rPr>
                <w:rFonts w:hAnsi="宋体"/>
              </w:rPr>
              <w:t>招标文件要求</w:t>
            </w:r>
          </w:p>
        </w:tc>
        <w:tc>
          <w:tcPr>
            <w:tcW w:w="3510" w:type="dxa"/>
            <w:vAlign w:val="center"/>
          </w:tcPr>
          <w:p>
            <w:pPr>
              <w:pStyle w:val="26"/>
              <w:adjustRightInd w:val="0"/>
              <w:snapToGrid w:val="0"/>
              <w:jc w:val="center"/>
              <w:rPr>
                <w:rFonts w:hAnsi="宋体"/>
              </w:rPr>
            </w:pPr>
            <w:r>
              <w:rPr>
                <w:rFonts w:hAnsi="宋体"/>
              </w:rPr>
              <w:t>投标文件对应内容</w:t>
            </w:r>
          </w:p>
        </w:tc>
        <w:tc>
          <w:tcPr>
            <w:tcW w:w="827" w:type="dxa"/>
            <w:vAlign w:val="center"/>
          </w:tcPr>
          <w:p>
            <w:pPr>
              <w:pStyle w:val="26"/>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bl>
    <w:p>
      <w:pPr>
        <w:pStyle w:val="26"/>
        <w:adjustRightInd w:val="0"/>
        <w:snapToGrid w:val="0"/>
        <w:spacing w:line="560" w:lineRule="exact"/>
        <w:rPr>
          <w:rFonts w:hAnsi="宋体"/>
          <w:bCs/>
          <w:sz w:val="24"/>
          <w:szCs w:val="24"/>
        </w:rPr>
      </w:pPr>
    </w:p>
    <w:p>
      <w:pPr>
        <w:pStyle w:val="26"/>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w:t>
    </w:r>
    <w:r>
      <w:t xml:space="preserve"> 11 -</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rPr>
        <w:rFonts w:ascii="宋体" w:hAnsi="宋体"/>
        <w:color w:val="000000"/>
        <w:szCs w:val="18"/>
      </w:rPr>
    </w:pPr>
    <w:r>
      <w:rPr>
        <w:rFonts w:hint="eastAsia" w:ascii="宋体" w:hAnsi="宋体"/>
        <w:color w:val="000000"/>
        <w:szCs w:val="18"/>
      </w:rPr>
      <w:t>杭州萧山国际机场软隔离设施采购项目文件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1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36"/>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1"/>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17"/>
  </w:num>
  <w:num w:numId="4">
    <w:abstractNumId w:val="0"/>
  </w:num>
  <w:num w:numId="5">
    <w:abstractNumId w:val="4"/>
  </w:num>
  <w:num w:numId="6">
    <w:abstractNumId w:val="15"/>
  </w:num>
  <w:num w:numId="7">
    <w:abstractNumId w:val="13"/>
  </w:num>
  <w:num w:numId="8">
    <w:abstractNumId w:val="7"/>
  </w:num>
  <w:num w:numId="9">
    <w:abstractNumId w:val="14"/>
  </w:num>
  <w:num w:numId="10">
    <w:abstractNumId w:val="3"/>
  </w:num>
  <w:num w:numId="11">
    <w:abstractNumId w:val="8"/>
  </w:num>
  <w:num w:numId="12">
    <w:abstractNumId w:val="10"/>
  </w:num>
  <w:num w:numId="13">
    <w:abstractNumId w:val="6"/>
  </w:num>
  <w:num w:numId="14">
    <w:abstractNumId w:val="2"/>
  </w:num>
  <w:num w:numId="15">
    <w:abstractNumId w:val="5"/>
  </w:num>
  <w:num w:numId="16">
    <w:abstractNumId w:val="1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575CD"/>
    <w:rsid w:val="002A0454"/>
    <w:rsid w:val="002E2BF6"/>
    <w:rsid w:val="00323B43"/>
    <w:rsid w:val="003B76AA"/>
    <w:rsid w:val="003D37D8"/>
    <w:rsid w:val="00426133"/>
    <w:rsid w:val="004358AB"/>
    <w:rsid w:val="004C6A88"/>
    <w:rsid w:val="006341E8"/>
    <w:rsid w:val="006B5322"/>
    <w:rsid w:val="0071275D"/>
    <w:rsid w:val="008B7726"/>
    <w:rsid w:val="008F0539"/>
    <w:rsid w:val="00952D26"/>
    <w:rsid w:val="00A06A5B"/>
    <w:rsid w:val="00A20F8E"/>
    <w:rsid w:val="00A76F99"/>
    <w:rsid w:val="00AC14A1"/>
    <w:rsid w:val="00B639FD"/>
    <w:rsid w:val="00CD0FD9"/>
    <w:rsid w:val="00D31D50"/>
    <w:rsid w:val="00F54FD0"/>
    <w:rsid w:val="2096560B"/>
    <w:rsid w:val="335152F3"/>
    <w:rsid w:val="3BEF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iPriority="0" w:name="Body Text First Indent"/>
    <w:lsdException w:qFormat="1" w:uiPriority="0" w:name="Body Text First Indent 2"/>
    <w:lsdException w:uiPriority="99" w:name="Note Heading"/>
    <w:lsdException w:qFormat="1"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2"/>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53"/>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5"/>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56"/>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7"/>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58"/>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59"/>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able of authorities"/>
    <w:basedOn w:val="1"/>
    <w:next w:val="1"/>
    <w:qFormat/>
    <w:uiPriority w:val="0"/>
    <w:pPr>
      <w:ind w:left="420" w:leftChars="200"/>
    </w:pPr>
    <w:rPr>
      <w:rFonts w:ascii="Times New Roman" w:hAnsi="Times New Roman"/>
      <w:szCs w:val="24"/>
    </w:rPr>
  </w:style>
  <w:style w:type="paragraph" w:styleId="13">
    <w:name w:val="Normal Indent"/>
    <w:basedOn w:val="1"/>
    <w:qFormat/>
    <w:uiPriority w:val="0"/>
    <w:pPr>
      <w:ind w:firstLine="420"/>
    </w:pPr>
    <w:rPr>
      <w:rFonts w:ascii="Times New Roman" w:hAnsi="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qFormat/>
    <w:uiPriority w:val="0"/>
    <w:pPr>
      <w:ind w:left="800" w:leftChars="800"/>
    </w:pPr>
    <w:rPr>
      <w:rFonts w:ascii="Times New Roman" w:hAnsi="Times New Roman"/>
      <w:szCs w:val="24"/>
    </w:rPr>
  </w:style>
  <w:style w:type="paragraph" w:styleId="16">
    <w:name w:val="List Bullet"/>
    <w:basedOn w:val="1"/>
    <w:qFormat/>
    <w:uiPriority w:val="0"/>
    <w:pPr>
      <w:tabs>
        <w:tab w:val="left" w:pos="360"/>
      </w:tabs>
      <w:ind w:left="360" w:hanging="360"/>
    </w:pPr>
    <w:rPr>
      <w:rFonts w:ascii="Times New Roman" w:hAnsi="Times New Roman"/>
      <w:szCs w:val="24"/>
    </w:rPr>
  </w:style>
  <w:style w:type="paragraph" w:styleId="17">
    <w:name w:val="Document Map"/>
    <w:basedOn w:val="1"/>
    <w:link w:val="71"/>
    <w:uiPriority w:val="0"/>
    <w:pPr>
      <w:shd w:val="clear" w:color="auto" w:fill="000080"/>
    </w:pPr>
    <w:rPr>
      <w:rFonts w:ascii="Times New Roman" w:hAnsi="Times New Roman" w:eastAsia="微软雅黑" w:cstheme="minorBidi"/>
      <w:kern w:val="0"/>
      <w:sz w:val="22"/>
    </w:rPr>
  </w:style>
  <w:style w:type="paragraph" w:styleId="18">
    <w:name w:val="annotation text"/>
    <w:basedOn w:val="1"/>
    <w:link w:val="100"/>
    <w:semiHidden/>
    <w:unhideWhenUsed/>
    <w:uiPriority w:val="0"/>
    <w:pPr>
      <w:jc w:val="left"/>
    </w:pPr>
  </w:style>
  <w:style w:type="paragraph" w:styleId="19">
    <w:name w:val="Body Text 3"/>
    <w:basedOn w:val="1"/>
    <w:link w:val="85"/>
    <w:uiPriority w:val="0"/>
    <w:pPr>
      <w:adjustRightInd w:val="0"/>
      <w:spacing w:after="120" w:line="360" w:lineRule="atLeast"/>
      <w:textAlignment w:val="baseline"/>
    </w:pPr>
    <w:rPr>
      <w:rFonts w:ascii="Times New Roman" w:hAnsi="Times New Roman" w:eastAsia="微软雅黑" w:cstheme="minorBidi"/>
      <w:kern w:val="0"/>
      <w:sz w:val="16"/>
      <w:szCs w:val="16"/>
    </w:rPr>
  </w:style>
  <w:style w:type="paragraph" w:styleId="20">
    <w:name w:val="Body Text"/>
    <w:basedOn w:val="1"/>
    <w:link w:val="92"/>
    <w:unhideWhenUsed/>
    <w:uiPriority w:val="0"/>
    <w:pPr>
      <w:spacing w:after="120"/>
    </w:pPr>
  </w:style>
  <w:style w:type="paragraph" w:styleId="21">
    <w:name w:val="Body Text Indent"/>
    <w:basedOn w:val="1"/>
    <w:link w:val="79"/>
    <w:unhideWhenUsed/>
    <w:uiPriority w:val="0"/>
    <w:pPr>
      <w:spacing w:after="120"/>
      <w:ind w:left="420" w:leftChars="200"/>
    </w:pPr>
  </w:style>
  <w:style w:type="paragraph" w:styleId="22">
    <w:name w:val="List 2"/>
    <w:basedOn w:val="1"/>
    <w:uiPriority w:val="0"/>
    <w:pPr>
      <w:ind w:left="100" w:leftChars="200" w:hanging="200" w:hangingChars="200"/>
    </w:pPr>
    <w:rPr>
      <w:rFonts w:ascii="Times New Roman" w:hAnsi="Times New Roman"/>
      <w:szCs w:val="24"/>
    </w:rPr>
  </w:style>
  <w:style w:type="paragraph" w:styleId="23">
    <w:name w:val="List Continue"/>
    <w:basedOn w:val="1"/>
    <w:qFormat/>
    <w:uiPriority w:val="0"/>
    <w:pPr>
      <w:spacing w:after="120"/>
      <w:ind w:left="420" w:leftChars="200"/>
    </w:pPr>
    <w:rPr>
      <w:rFonts w:ascii="Times New Roman" w:hAnsi="Times New Roman"/>
      <w:szCs w:val="24"/>
    </w:rPr>
  </w:style>
  <w:style w:type="paragraph" w:styleId="24">
    <w:name w:val="Block Text"/>
    <w:basedOn w:val="1"/>
    <w:qFormat/>
    <w:uiPriority w:val="0"/>
    <w:pPr>
      <w:spacing w:before="120" w:after="120" w:line="360" w:lineRule="auto"/>
      <w:ind w:left="525" w:right="202"/>
    </w:pPr>
    <w:rPr>
      <w:rFonts w:ascii="宋体" w:hAnsi="宋体"/>
      <w:spacing w:val="-4"/>
      <w:sz w:val="24"/>
      <w:szCs w:val="24"/>
    </w:rPr>
  </w:style>
  <w:style w:type="paragraph" w:styleId="25">
    <w:name w:val="List Bullet 2"/>
    <w:basedOn w:val="1"/>
    <w:uiPriority w:val="0"/>
    <w:pPr>
      <w:tabs>
        <w:tab w:val="left" w:pos="780"/>
      </w:tabs>
      <w:ind w:left="780" w:hanging="360"/>
    </w:pPr>
    <w:rPr>
      <w:rFonts w:ascii="Times New Roman" w:hAnsi="Times New Roman"/>
      <w:szCs w:val="24"/>
    </w:rPr>
  </w:style>
  <w:style w:type="paragraph" w:styleId="26">
    <w:name w:val="Plain Text"/>
    <w:basedOn w:val="1"/>
    <w:link w:val="75"/>
    <w:uiPriority w:val="0"/>
    <w:rPr>
      <w:rFonts w:ascii="宋体" w:hAnsi="Courier New" w:eastAsia="微软雅黑" w:cstheme="minorBidi"/>
      <w:kern w:val="0"/>
      <w:sz w:val="22"/>
      <w:szCs w:val="21"/>
    </w:rPr>
  </w:style>
  <w:style w:type="paragraph" w:styleId="27">
    <w:name w:val="Date"/>
    <w:basedOn w:val="1"/>
    <w:next w:val="1"/>
    <w:link w:val="65"/>
    <w:uiPriority w:val="0"/>
    <w:pPr>
      <w:ind w:left="100" w:leftChars="2500"/>
    </w:pPr>
    <w:rPr>
      <w:rFonts w:ascii="Times New Roman" w:hAnsi="Times New Roman" w:eastAsia="微软雅黑" w:cstheme="minorBidi"/>
      <w:kern w:val="0"/>
      <w:sz w:val="22"/>
    </w:rPr>
  </w:style>
  <w:style w:type="paragraph" w:styleId="28">
    <w:name w:val="Body Text Indent 2"/>
    <w:basedOn w:val="1"/>
    <w:link w:val="98"/>
    <w:qFormat/>
    <w:uiPriority w:val="0"/>
    <w:pPr>
      <w:spacing w:after="120" w:line="480" w:lineRule="auto"/>
      <w:ind w:left="420" w:leftChars="200"/>
    </w:pPr>
    <w:rPr>
      <w:rFonts w:ascii="Times New Roman" w:hAnsi="Times New Roman" w:eastAsia="微软雅黑" w:cstheme="minorBidi"/>
      <w:kern w:val="0"/>
      <w:sz w:val="22"/>
    </w:rPr>
  </w:style>
  <w:style w:type="paragraph" w:styleId="29">
    <w:name w:val="Balloon Text"/>
    <w:basedOn w:val="1"/>
    <w:link w:val="67"/>
    <w:semiHidden/>
    <w:qFormat/>
    <w:uiPriority w:val="0"/>
    <w:rPr>
      <w:rFonts w:ascii="Times New Roman" w:hAnsi="Times New Roman" w:eastAsia="微软雅黑" w:cstheme="minorBidi"/>
      <w:kern w:val="0"/>
      <w:sz w:val="18"/>
      <w:szCs w:val="18"/>
    </w:rPr>
  </w:style>
  <w:style w:type="paragraph" w:styleId="30">
    <w:name w:val="footer"/>
    <w:basedOn w:val="1"/>
    <w:link w:val="50"/>
    <w:unhideWhenUsed/>
    <w:qFormat/>
    <w:uiPriority w:val="99"/>
    <w:pPr>
      <w:tabs>
        <w:tab w:val="center" w:pos="4153"/>
        <w:tab w:val="right" w:pos="8306"/>
      </w:tabs>
    </w:pPr>
    <w:rPr>
      <w:sz w:val="18"/>
      <w:szCs w:val="18"/>
    </w:rPr>
  </w:style>
  <w:style w:type="paragraph" w:styleId="31">
    <w:name w:val="header"/>
    <w:basedOn w:val="1"/>
    <w:link w:val="49"/>
    <w:unhideWhenUsed/>
    <w:qFormat/>
    <w:uiPriority w:val="0"/>
    <w:pPr>
      <w:pBdr>
        <w:bottom w:val="single" w:color="auto" w:sz="6" w:space="1"/>
      </w:pBdr>
      <w:tabs>
        <w:tab w:val="center" w:pos="4153"/>
        <w:tab w:val="right" w:pos="8306"/>
      </w:tabs>
      <w:jc w:val="center"/>
    </w:pPr>
    <w:rPr>
      <w:sz w:val="18"/>
      <w:szCs w:val="18"/>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Body Text Indent 3"/>
    <w:basedOn w:val="1"/>
    <w:link w:val="90"/>
    <w:qFormat/>
    <w:uiPriority w:val="0"/>
    <w:pPr>
      <w:spacing w:after="120"/>
      <w:ind w:left="420" w:leftChars="200"/>
    </w:pPr>
    <w:rPr>
      <w:rFonts w:ascii="Times New Roman" w:hAnsi="Times New Roman" w:eastAsia="微软雅黑" w:cstheme="minorBidi"/>
      <w:kern w:val="0"/>
      <w:sz w:val="16"/>
      <w:szCs w:val="16"/>
    </w:rPr>
  </w:style>
  <w:style w:type="paragraph" w:styleId="34">
    <w:name w:val="Body Text 2"/>
    <w:basedOn w:val="1"/>
    <w:link w:val="69"/>
    <w:unhideWhenUsed/>
    <w:qFormat/>
    <w:uiPriority w:val="0"/>
    <w:pPr>
      <w:spacing w:after="120" w:line="480" w:lineRule="auto"/>
    </w:pPr>
    <w:rPr>
      <w:rFonts w:ascii="Times New Roman" w:hAnsi="Times New Roman" w:eastAsia="微软雅黑" w:cstheme="minorBidi"/>
      <w:kern w:val="0"/>
      <w:sz w:val="22"/>
    </w:rPr>
  </w:style>
  <w:style w:type="paragraph" w:styleId="35">
    <w:name w:val="List 4"/>
    <w:basedOn w:val="1"/>
    <w:qFormat/>
    <w:uiPriority w:val="0"/>
    <w:pPr>
      <w:ind w:left="100" w:leftChars="600" w:hanging="200" w:hangingChars="200"/>
    </w:pPr>
    <w:rPr>
      <w:rFonts w:ascii="Times New Roman" w:hAnsi="Times New Roman"/>
      <w:szCs w:val="24"/>
    </w:rPr>
  </w:style>
  <w:style w:type="paragraph" w:styleId="36">
    <w:name w:val="List Continue 2"/>
    <w:basedOn w:val="1"/>
    <w:qFormat/>
    <w:uiPriority w:val="0"/>
    <w:pPr>
      <w:numPr>
        <w:ilvl w:val="0"/>
        <w:numId w:val="2"/>
      </w:numPr>
      <w:tabs>
        <w:tab w:val="clear" w:pos="360"/>
      </w:tabs>
      <w:spacing w:after="120"/>
      <w:ind w:left="840" w:leftChars="400" w:firstLine="0"/>
    </w:pPr>
    <w:rPr>
      <w:rFonts w:ascii="Times New Roman" w:hAnsi="Times New Roman"/>
      <w:szCs w:val="24"/>
    </w:rPr>
  </w:style>
  <w:style w:type="paragraph" w:styleId="3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qFormat/>
    <w:uiPriority w:val="0"/>
    <w:pPr>
      <w:adjustRightInd w:val="0"/>
      <w:snapToGrid w:val="0"/>
      <w:jc w:val="center"/>
    </w:pPr>
    <w:rPr>
      <w:rFonts w:ascii="Times New Roman" w:hAnsi="Times New Roman"/>
      <w:szCs w:val="20"/>
    </w:rPr>
  </w:style>
  <w:style w:type="paragraph" w:styleId="39">
    <w:name w:val="Title"/>
    <w:basedOn w:val="1"/>
    <w:next w:val="1"/>
    <w:link w:val="60"/>
    <w:qFormat/>
    <w:uiPriority w:val="0"/>
    <w:pPr>
      <w:spacing w:before="240" w:after="60"/>
      <w:jc w:val="center"/>
      <w:outlineLvl w:val="0"/>
    </w:pPr>
    <w:rPr>
      <w:rFonts w:ascii="Cambria" w:hAnsi="Cambria" w:eastAsia="仿宋_GB2312"/>
      <w:b/>
      <w:bCs/>
      <w:sz w:val="32"/>
      <w:szCs w:val="32"/>
    </w:rPr>
  </w:style>
  <w:style w:type="paragraph" w:styleId="40">
    <w:name w:val="annotation subject"/>
    <w:basedOn w:val="18"/>
    <w:next w:val="18"/>
    <w:link w:val="101"/>
    <w:semiHidden/>
    <w:qFormat/>
    <w:uiPriority w:val="0"/>
    <w:rPr>
      <w:rFonts w:ascii="Times New Roman" w:hAnsi="Times New Roman" w:eastAsia="微软雅黑" w:cstheme="minorBidi"/>
      <w:b/>
      <w:bCs/>
      <w:kern w:val="0"/>
      <w:sz w:val="22"/>
    </w:rPr>
  </w:style>
  <w:style w:type="paragraph" w:styleId="41">
    <w:name w:val="Body Text First Indent"/>
    <w:basedOn w:val="20"/>
    <w:link w:val="93"/>
    <w:semiHidden/>
    <w:unhideWhenUsed/>
    <w:qFormat/>
    <w:uiPriority w:val="0"/>
    <w:pPr>
      <w:ind w:firstLine="420" w:firstLineChars="100"/>
    </w:pPr>
    <w:rPr>
      <w:rFonts w:asciiTheme="minorHAnsi" w:hAnsiTheme="minorHAnsi" w:cstheme="minorBidi"/>
    </w:rPr>
  </w:style>
  <w:style w:type="paragraph" w:styleId="42">
    <w:name w:val="Body Text First Indent 2"/>
    <w:basedOn w:val="21"/>
    <w:link w:val="80"/>
    <w:semiHidden/>
    <w:unhideWhenUsed/>
    <w:qFormat/>
    <w:uiPriority w:val="0"/>
    <w:pPr>
      <w:ind w:firstLine="420" w:firstLineChars="200"/>
    </w:pPr>
    <w:rPr>
      <w:rFonts w:ascii="宋体" w:hAnsi="宋体" w:eastAsia="微软雅黑" w:cstheme="minorBidi"/>
      <w:kern w:val="0"/>
      <w:sz w:val="28"/>
    </w:rPr>
  </w:style>
  <w:style w:type="character" w:styleId="45">
    <w:name w:val="Strong"/>
    <w:qFormat/>
    <w:uiPriority w:val="0"/>
    <w:rPr>
      <w:b/>
      <w:bCs/>
    </w:rPr>
  </w:style>
  <w:style w:type="character" w:styleId="46">
    <w:name w:val="page number"/>
    <w:qFormat/>
    <w:uiPriority w:val="0"/>
  </w:style>
  <w:style w:type="character" w:styleId="47">
    <w:name w:val="FollowedHyperlink"/>
    <w:unhideWhenUsed/>
    <w:qFormat/>
    <w:uiPriority w:val="99"/>
    <w:rPr>
      <w:color w:val="800080"/>
      <w:u w:val="single"/>
    </w:rPr>
  </w:style>
  <w:style w:type="character" w:styleId="48">
    <w:name w:val="Hyperlink"/>
    <w:qFormat/>
    <w:uiPriority w:val="99"/>
    <w:rPr>
      <w:color w:val="0000FF"/>
      <w:u w:val="single"/>
    </w:rPr>
  </w:style>
  <w:style w:type="character" w:customStyle="1" w:styleId="49">
    <w:name w:val="页眉 Char"/>
    <w:basedOn w:val="44"/>
    <w:link w:val="31"/>
    <w:uiPriority w:val="0"/>
    <w:rPr>
      <w:rFonts w:ascii="Tahoma" w:hAnsi="Tahoma"/>
      <w:sz w:val="18"/>
      <w:szCs w:val="18"/>
    </w:rPr>
  </w:style>
  <w:style w:type="character" w:customStyle="1" w:styleId="50">
    <w:name w:val="页脚 Char"/>
    <w:basedOn w:val="44"/>
    <w:link w:val="30"/>
    <w:uiPriority w:val="99"/>
    <w:rPr>
      <w:rFonts w:ascii="Tahoma" w:hAnsi="Tahoma"/>
      <w:sz w:val="18"/>
      <w:szCs w:val="18"/>
    </w:rPr>
  </w:style>
  <w:style w:type="character" w:customStyle="1" w:styleId="51">
    <w:name w:val="标题 1 Char"/>
    <w:basedOn w:val="44"/>
    <w:link w:val="2"/>
    <w:uiPriority w:val="0"/>
    <w:rPr>
      <w:rFonts w:ascii="Calibri" w:hAnsi="Calibri" w:eastAsia="黑体" w:cs="Times New Roman"/>
      <w:b/>
      <w:bCs/>
      <w:kern w:val="44"/>
      <w:sz w:val="32"/>
      <w:szCs w:val="44"/>
    </w:rPr>
  </w:style>
  <w:style w:type="character" w:customStyle="1" w:styleId="52">
    <w:name w:val="标题 2 Char"/>
    <w:basedOn w:val="44"/>
    <w:link w:val="3"/>
    <w:qFormat/>
    <w:uiPriority w:val="0"/>
    <w:rPr>
      <w:rFonts w:ascii="Arial" w:hAnsi="Arial" w:eastAsia="宋体" w:cs="Times New Roman"/>
      <w:b/>
      <w:bCs/>
      <w:sz w:val="28"/>
      <w:szCs w:val="32"/>
    </w:rPr>
  </w:style>
  <w:style w:type="character" w:customStyle="1" w:styleId="53">
    <w:name w:val="标题 3 Char"/>
    <w:basedOn w:val="44"/>
    <w:link w:val="4"/>
    <w:qFormat/>
    <w:uiPriority w:val="0"/>
    <w:rPr>
      <w:rFonts w:ascii="宋体" w:hAnsi="Times New Roman" w:eastAsia="宋体" w:cs="Times New Roman"/>
      <w:b/>
      <w:sz w:val="28"/>
      <w:szCs w:val="20"/>
    </w:rPr>
  </w:style>
  <w:style w:type="character" w:customStyle="1" w:styleId="54">
    <w:name w:val="标题 4 Char"/>
    <w:basedOn w:val="44"/>
    <w:link w:val="5"/>
    <w:qFormat/>
    <w:uiPriority w:val="0"/>
    <w:rPr>
      <w:rFonts w:ascii="Arial" w:hAnsi="Arial" w:eastAsia="黑体" w:cs="Times New Roman"/>
      <w:b/>
      <w:bCs/>
      <w:sz w:val="28"/>
      <w:szCs w:val="28"/>
    </w:rPr>
  </w:style>
  <w:style w:type="character" w:customStyle="1" w:styleId="55">
    <w:name w:val="标题 5 Char"/>
    <w:basedOn w:val="44"/>
    <w:link w:val="6"/>
    <w:qFormat/>
    <w:uiPriority w:val="0"/>
    <w:rPr>
      <w:rFonts w:ascii="Times New Roman" w:hAnsi="Times New Roman" w:eastAsia="宋体" w:cs="Times New Roman"/>
      <w:b/>
      <w:bCs/>
      <w:sz w:val="28"/>
      <w:szCs w:val="28"/>
    </w:rPr>
  </w:style>
  <w:style w:type="character" w:customStyle="1" w:styleId="56">
    <w:name w:val="标题 6 Char"/>
    <w:basedOn w:val="44"/>
    <w:link w:val="7"/>
    <w:qFormat/>
    <w:uiPriority w:val="0"/>
    <w:rPr>
      <w:rFonts w:ascii="Arial" w:hAnsi="Arial" w:eastAsia="黑体" w:cs="Times New Roman"/>
      <w:b/>
      <w:bCs/>
      <w:sz w:val="24"/>
      <w:szCs w:val="24"/>
    </w:rPr>
  </w:style>
  <w:style w:type="character" w:customStyle="1" w:styleId="57">
    <w:name w:val="标题 7 Char"/>
    <w:basedOn w:val="44"/>
    <w:link w:val="8"/>
    <w:qFormat/>
    <w:uiPriority w:val="0"/>
    <w:rPr>
      <w:rFonts w:ascii="Times New Roman" w:hAnsi="Times New Roman" w:eastAsia="宋体" w:cs="Times New Roman"/>
      <w:b/>
      <w:bCs/>
      <w:sz w:val="24"/>
      <w:szCs w:val="24"/>
    </w:rPr>
  </w:style>
  <w:style w:type="character" w:customStyle="1" w:styleId="58">
    <w:name w:val="标题 8 Char"/>
    <w:basedOn w:val="44"/>
    <w:link w:val="9"/>
    <w:qFormat/>
    <w:uiPriority w:val="0"/>
    <w:rPr>
      <w:rFonts w:ascii="Arial" w:hAnsi="Arial" w:eastAsia="黑体" w:cs="Times New Roman"/>
      <w:sz w:val="24"/>
      <w:szCs w:val="24"/>
    </w:rPr>
  </w:style>
  <w:style w:type="character" w:customStyle="1" w:styleId="59">
    <w:name w:val="标题 9 Char"/>
    <w:basedOn w:val="44"/>
    <w:link w:val="10"/>
    <w:qFormat/>
    <w:uiPriority w:val="0"/>
    <w:rPr>
      <w:rFonts w:ascii="Arial" w:hAnsi="Arial" w:eastAsia="黑体" w:cs="Times New Roman"/>
      <w:sz w:val="20"/>
      <w:szCs w:val="21"/>
    </w:rPr>
  </w:style>
  <w:style w:type="character" w:customStyle="1" w:styleId="60">
    <w:name w:val="标题 Char"/>
    <w:basedOn w:val="44"/>
    <w:link w:val="39"/>
    <w:qFormat/>
    <w:uiPriority w:val="0"/>
    <w:rPr>
      <w:rFonts w:ascii="Cambria" w:hAnsi="Cambria" w:eastAsia="仿宋_GB2312" w:cs="Times New Roman"/>
      <w:b/>
      <w:bCs/>
      <w:kern w:val="2"/>
      <w:sz w:val="32"/>
      <w:szCs w:val="32"/>
    </w:rPr>
  </w:style>
  <w:style w:type="paragraph" w:styleId="61">
    <w:name w:val="List Paragraph"/>
    <w:basedOn w:val="1"/>
    <w:qFormat/>
    <w:uiPriority w:val="34"/>
    <w:pPr>
      <w:ind w:firstLine="420" w:firstLineChars="200"/>
    </w:pPr>
  </w:style>
  <w:style w:type="paragraph" w:customStyle="1" w:styleId="62">
    <w:name w:val="列出段落1"/>
    <w:basedOn w:val="1"/>
    <w:qFormat/>
    <w:uiPriority w:val="0"/>
    <w:pPr>
      <w:ind w:firstLine="420" w:firstLineChars="200"/>
    </w:pPr>
    <w:rPr>
      <w:rFonts w:cs="黑体"/>
    </w:rPr>
  </w:style>
  <w:style w:type="character" w:customStyle="1" w:styleId="63">
    <w:name w:val="标题 1 字符"/>
    <w:basedOn w:val="44"/>
    <w:qFormat/>
    <w:uiPriority w:val="9"/>
    <w:rPr>
      <w:b/>
      <w:bCs/>
      <w:kern w:val="44"/>
      <w:sz w:val="44"/>
      <w:szCs w:val="44"/>
    </w:rPr>
  </w:style>
  <w:style w:type="character" w:customStyle="1" w:styleId="64">
    <w:name w:val="日期 Char"/>
    <w:link w:val="27"/>
    <w:qFormat/>
    <w:uiPriority w:val="0"/>
    <w:rPr>
      <w:rFonts w:ascii="Times New Roman" w:hAnsi="Times New Roman"/>
    </w:rPr>
  </w:style>
  <w:style w:type="character" w:customStyle="1" w:styleId="65">
    <w:name w:val="日期 Char1"/>
    <w:basedOn w:val="44"/>
    <w:link w:val="27"/>
    <w:semiHidden/>
    <w:qFormat/>
    <w:uiPriority w:val="99"/>
    <w:rPr>
      <w:rFonts w:ascii="Calibri" w:hAnsi="Calibri" w:eastAsia="宋体" w:cs="Times New Roman"/>
      <w:kern w:val="2"/>
      <w:sz w:val="21"/>
    </w:rPr>
  </w:style>
  <w:style w:type="character" w:customStyle="1" w:styleId="66">
    <w:name w:val="批注框文本 Char"/>
    <w:link w:val="29"/>
    <w:semiHidden/>
    <w:qFormat/>
    <w:uiPriority w:val="0"/>
    <w:rPr>
      <w:rFonts w:ascii="Times New Roman" w:hAnsi="Times New Roman"/>
      <w:sz w:val="18"/>
      <w:szCs w:val="18"/>
    </w:rPr>
  </w:style>
  <w:style w:type="character" w:customStyle="1" w:styleId="67">
    <w:name w:val="批注框文本 Char1"/>
    <w:basedOn w:val="44"/>
    <w:link w:val="29"/>
    <w:semiHidden/>
    <w:qFormat/>
    <w:uiPriority w:val="99"/>
    <w:rPr>
      <w:rFonts w:ascii="Calibri" w:hAnsi="Calibri" w:eastAsia="宋体" w:cs="Times New Roman"/>
      <w:kern w:val="2"/>
      <w:sz w:val="18"/>
      <w:szCs w:val="18"/>
    </w:rPr>
  </w:style>
  <w:style w:type="character" w:customStyle="1" w:styleId="68">
    <w:name w:val="正文文本 2 Char"/>
    <w:link w:val="34"/>
    <w:qFormat/>
    <w:uiPriority w:val="0"/>
    <w:rPr>
      <w:rFonts w:ascii="Times New Roman" w:hAnsi="Times New Roman"/>
    </w:rPr>
  </w:style>
  <w:style w:type="character" w:customStyle="1" w:styleId="69">
    <w:name w:val="正文文本 2 Char1"/>
    <w:basedOn w:val="44"/>
    <w:link w:val="34"/>
    <w:semiHidden/>
    <w:qFormat/>
    <w:uiPriority w:val="99"/>
    <w:rPr>
      <w:rFonts w:ascii="Calibri" w:hAnsi="Calibri" w:eastAsia="宋体" w:cs="Times New Roman"/>
      <w:kern w:val="2"/>
      <w:sz w:val="21"/>
    </w:rPr>
  </w:style>
  <w:style w:type="character" w:customStyle="1" w:styleId="70">
    <w:name w:val="文档结构图 Char"/>
    <w:link w:val="17"/>
    <w:qFormat/>
    <w:uiPriority w:val="0"/>
    <w:rPr>
      <w:rFonts w:ascii="Times New Roman" w:hAnsi="Times New Roman"/>
      <w:shd w:val="clear" w:color="auto" w:fill="000080"/>
    </w:rPr>
  </w:style>
  <w:style w:type="character" w:customStyle="1" w:styleId="71">
    <w:name w:val="文档结构图 Char1"/>
    <w:basedOn w:val="44"/>
    <w:link w:val="17"/>
    <w:semiHidden/>
    <w:qFormat/>
    <w:uiPriority w:val="99"/>
    <w:rPr>
      <w:rFonts w:ascii="宋体" w:hAnsi="Calibri" w:eastAsia="宋体" w:cs="Times New Roman"/>
      <w:kern w:val="2"/>
      <w:sz w:val="18"/>
      <w:szCs w:val="18"/>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26"/>
    <w:qFormat/>
    <w:uiPriority w:val="0"/>
    <w:rPr>
      <w:rFonts w:ascii="宋体" w:hAnsi="Courier New"/>
      <w:szCs w:val="21"/>
    </w:rPr>
  </w:style>
  <w:style w:type="character" w:customStyle="1" w:styleId="75">
    <w:name w:val="纯文本 Char1"/>
    <w:basedOn w:val="44"/>
    <w:link w:val="26"/>
    <w:semiHidden/>
    <w:qFormat/>
    <w:uiPriority w:val="99"/>
    <w:rPr>
      <w:rFonts w:ascii="宋体" w:hAnsi="Courier New" w:eastAsia="宋体" w:cs="Courier New"/>
      <w:kern w:val="2"/>
      <w:sz w:val="21"/>
      <w:szCs w:val="21"/>
    </w:rPr>
  </w:style>
  <w:style w:type="character" w:customStyle="1" w:styleId="76">
    <w:name w:val="Char Char3"/>
    <w:qFormat/>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首行缩进 2 Char"/>
    <w:link w:val="42"/>
    <w:semiHidden/>
    <w:qFormat/>
    <w:uiPriority w:val="0"/>
    <w:rPr>
      <w:rFonts w:ascii="宋体" w:hAnsi="宋体"/>
      <w:sz w:val="28"/>
    </w:rPr>
  </w:style>
  <w:style w:type="character" w:customStyle="1" w:styleId="79">
    <w:name w:val="正文文本缩进 Char"/>
    <w:basedOn w:val="44"/>
    <w:link w:val="21"/>
    <w:qFormat/>
    <w:uiPriority w:val="0"/>
    <w:rPr>
      <w:rFonts w:ascii="Calibri" w:hAnsi="Calibri" w:eastAsia="宋体" w:cs="Times New Roman"/>
      <w:kern w:val="2"/>
      <w:sz w:val="21"/>
    </w:rPr>
  </w:style>
  <w:style w:type="character" w:customStyle="1" w:styleId="80">
    <w:name w:val="正文首行缩进 2 Char1"/>
    <w:basedOn w:val="79"/>
    <w:link w:val="42"/>
    <w:semiHidden/>
    <w:qFormat/>
    <w:uiPriority w:val="99"/>
  </w:style>
  <w:style w:type="character" w:customStyle="1" w:styleId="81">
    <w:name w:val="font21"/>
    <w:qFormat/>
    <w:uiPriority w:val="0"/>
    <w:rPr>
      <w:rFonts w:hint="default" w:ascii="Times New Roman" w:hAnsi="Times New Roman" w:cs="Times New Roman"/>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uiPriority w:val="0"/>
  </w:style>
  <w:style w:type="character" w:customStyle="1" w:styleId="84">
    <w:name w:val="正文文本 3 Char"/>
    <w:link w:val="19"/>
    <w:uiPriority w:val="0"/>
    <w:rPr>
      <w:rFonts w:ascii="Times New Roman" w:hAnsi="Times New Roman"/>
      <w:sz w:val="16"/>
      <w:szCs w:val="16"/>
    </w:rPr>
  </w:style>
  <w:style w:type="character" w:customStyle="1" w:styleId="85">
    <w:name w:val="正文文本 3 Char1"/>
    <w:basedOn w:val="44"/>
    <w:link w:val="19"/>
    <w:semiHidden/>
    <w:qFormat/>
    <w:uiPriority w:val="99"/>
    <w:rPr>
      <w:rFonts w:ascii="Calibri" w:hAnsi="Calibri" w:eastAsia="宋体" w:cs="Times New Roman"/>
      <w:kern w:val="2"/>
      <w:sz w:val="16"/>
      <w:szCs w:val="16"/>
    </w:rPr>
  </w:style>
  <w:style w:type="character" w:customStyle="1" w:styleId="86">
    <w:name w:val="px1233"/>
    <w:uiPriority w:val="0"/>
  </w:style>
  <w:style w:type="character" w:customStyle="1" w:styleId="87">
    <w:name w:val="font11"/>
    <w:qFormat/>
    <w:uiPriority w:val="0"/>
    <w:rPr>
      <w:rFonts w:hint="default" w:ascii="Times New Roman" w:hAnsi="Times New Roman" w:cs="Times New Roman"/>
      <w:color w:val="000000"/>
      <w:sz w:val="21"/>
      <w:szCs w:val="21"/>
      <w:u w:val="none"/>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Char"/>
    <w:link w:val="33"/>
    <w:uiPriority w:val="0"/>
    <w:rPr>
      <w:rFonts w:ascii="Times New Roman" w:hAnsi="Times New Roman"/>
      <w:sz w:val="16"/>
      <w:szCs w:val="16"/>
    </w:rPr>
  </w:style>
  <w:style w:type="character" w:customStyle="1" w:styleId="90">
    <w:name w:val="正文文本缩进 3 Char1"/>
    <w:basedOn w:val="44"/>
    <w:link w:val="33"/>
    <w:semiHidden/>
    <w:qFormat/>
    <w:uiPriority w:val="99"/>
    <w:rPr>
      <w:rFonts w:ascii="Calibri" w:hAnsi="Calibri" w:eastAsia="宋体" w:cs="Times New Roman"/>
      <w:kern w:val="2"/>
      <w:sz w:val="16"/>
      <w:szCs w:val="16"/>
    </w:rPr>
  </w:style>
  <w:style w:type="character" w:customStyle="1" w:styleId="91">
    <w:name w:val="正文首行缩进 Char"/>
    <w:link w:val="41"/>
    <w:semiHidden/>
    <w:uiPriority w:val="0"/>
    <w:rPr>
      <w:rFonts w:eastAsia="宋体"/>
      <w:kern w:val="2"/>
      <w:sz w:val="21"/>
    </w:rPr>
  </w:style>
  <w:style w:type="character" w:customStyle="1" w:styleId="92">
    <w:name w:val="正文文本 Char"/>
    <w:basedOn w:val="44"/>
    <w:link w:val="20"/>
    <w:uiPriority w:val="0"/>
    <w:rPr>
      <w:rFonts w:ascii="Calibri" w:hAnsi="Calibri" w:eastAsia="宋体" w:cs="Times New Roman"/>
      <w:kern w:val="2"/>
      <w:sz w:val="21"/>
    </w:rPr>
  </w:style>
  <w:style w:type="character" w:customStyle="1" w:styleId="93">
    <w:name w:val="正文首行缩进 Char1"/>
    <w:basedOn w:val="92"/>
    <w:link w:val="41"/>
    <w:semiHidden/>
    <w:qFormat/>
    <w:uiPriority w:val="99"/>
  </w:style>
  <w:style w:type="character" w:customStyle="1" w:styleId="94">
    <w:name w:val="正文文本字符"/>
    <w:qFormat/>
    <w:uiPriority w:val="0"/>
    <w:rPr>
      <w:rFonts w:ascii="Times New Roman" w:hAnsi="Times New Roman" w:eastAsia="宋体" w:cs="Times New Roman"/>
      <w:kern w:val="0"/>
      <w:sz w:val="20"/>
      <w:szCs w:val="24"/>
    </w:rPr>
  </w:style>
  <w:style w:type="character" w:customStyle="1" w:styleId="95">
    <w:name w:val="Char Char2"/>
    <w:qFormat/>
    <w:uiPriority w:val="0"/>
    <w:rPr>
      <w:rFonts w:eastAsia="宋体"/>
      <w:kern w:val="2"/>
      <w:sz w:val="18"/>
      <w:szCs w:val="18"/>
      <w:lang w:val="en-US" w:eastAsia="zh-CN" w:bidi="ar-SA"/>
    </w:rPr>
  </w:style>
  <w:style w:type="character" w:customStyle="1" w:styleId="96">
    <w:name w:val="font01"/>
    <w:qFormat/>
    <w:uiPriority w:val="0"/>
    <w:rPr>
      <w:rFonts w:hint="eastAsia" w:ascii="宋体" w:hAnsi="宋体" w:eastAsia="宋体" w:cs="宋体"/>
      <w:color w:val="000000"/>
      <w:sz w:val="21"/>
      <w:szCs w:val="21"/>
      <w:u w:val="none"/>
    </w:rPr>
  </w:style>
  <w:style w:type="character" w:customStyle="1" w:styleId="97">
    <w:name w:val="正文文本缩进 2 Char"/>
    <w:link w:val="28"/>
    <w:qFormat/>
    <w:uiPriority w:val="0"/>
    <w:rPr>
      <w:rFonts w:ascii="Times New Roman" w:hAnsi="Times New Roman"/>
    </w:rPr>
  </w:style>
  <w:style w:type="character" w:customStyle="1" w:styleId="98">
    <w:name w:val="正文文本缩进 2 Char1"/>
    <w:basedOn w:val="44"/>
    <w:link w:val="28"/>
    <w:semiHidden/>
    <w:qFormat/>
    <w:uiPriority w:val="99"/>
    <w:rPr>
      <w:rFonts w:ascii="Calibri" w:hAnsi="Calibri" w:eastAsia="宋体" w:cs="Times New Roman"/>
      <w:kern w:val="2"/>
      <w:sz w:val="21"/>
    </w:rPr>
  </w:style>
  <w:style w:type="character" w:customStyle="1" w:styleId="99">
    <w:name w:val="批注主题 Char"/>
    <w:link w:val="40"/>
    <w:semiHidden/>
    <w:qFormat/>
    <w:uiPriority w:val="0"/>
    <w:rPr>
      <w:rFonts w:ascii="Times New Roman" w:hAnsi="Times New Roman"/>
      <w:b/>
      <w:bCs/>
    </w:rPr>
  </w:style>
  <w:style w:type="character" w:customStyle="1" w:styleId="100">
    <w:name w:val="批注文字 Char"/>
    <w:basedOn w:val="44"/>
    <w:link w:val="18"/>
    <w:semiHidden/>
    <w:uiPriority w:val="0"/>
    <w:rPr>
      <w:rFonts w:ascii="Calibri" w:hAnsi="Calibri" w:eastAsia="宋体" w:cs="Times New Roman"/>
      <w:kern w:val="2"/>
      <w:sz w:val="21"/>
    </w:rPr>
  </w:style>
  <w:style w:type="character" w:customStyle="1" w:styleId="101">
    <w:name w:val="批注主题 Char1"/>
    <w:basedOn w:val="100"/>
    <w:link w:val="40"/>
    <w:semiHidden/>
    <w:uiPriority w:val="99"/>
    <w:rPr>
      <w:b/>
      <w:bCs/>
    </w:rPr>
  </w:style>
  <w:style w:type="paragraph" w:customStyle="1" w:styleId="102">
    <w:name w:val="样式1"/>
    <w:basedOn w:val="5"/>
    <w:uiPriority w:val="0"/>
    <w:pPr>
      <w:tabs>
        <w:tab w:val="left" w:pos="864"/>
      </w:tabs>
      <w:spacing w:before="120" w:after="120" w:line="360" w:lineRule="auto"/>
      <w:ind w:left="864" w:hanging="864"/>
    </w:pPr>
    <w:rPr>
      <w:b w:val="0"/>
      <w:bCs w:val="0"/>
    </w:rPr>
  </w:style>
  <w:style w:type="paragraph" w:customStyle="1" w:styleId="103">
    <w:name w:val="Char Char Char1 Char Char Char Char"/>
    <w:basedOn w:val="1"/>
    <w:uiPriority w:val="0"/>
    <w:rPr>
      <w:rFonts w:ascii="Times New Roman" w:hAnsi="Times New Roman"/>
      <w:szCs w:val="24"/>
    </w:rPr>
  </w:style>
  <w:style w:type="paragraph" w:customStyle="1" w:styleId="104">
    <w:name w:val="Char Char Char Char Char Char"/>
    <w:basedOn w:val="1"/>
    <w:uiPriority w:val="0"/>
    <w:rPr>
      <w:rFonts w:ascii="Times New Roman" w:hAnsi="Times New Roman"/>
      <w:szCs w:val="24"/>
    </w:rPr>
  </w:style>
  <w:style w:type="paragraph" w:customStyle="1" w:styleId="105">
    <w:name w:val="Char Char Char Char"/>
    <w:basedOn w:val="1"/>
    <w:uiPriority w:val="0"/>
    <w:rPr>
      <w:rFonts w:ascii="Times New Roman" w:hAnsi="Times New Roman"/>
      <w:szCs w:val="24"/>
    </w:rPr>
  </w:style>
  <w:style w:type="paragraph" w:customStyle="1" w:styleId="106">
    <w:name w:val="p0"/>
    <w:basedOn w:val="1"/>
    <w:uiPriority w:val="0"/>
    <w:pPr>
      <w:widowControl/>
    </w:pPr>
    <w:rPr>
      <w:rFonts w:ascii="Times New Roman" w:hAnsi="Times New Roman"/>
      <w:kern w:val="0"/>
      <w:szCs w:val="21"/>
    </w:rPr>
  </w:style>
  <w:style w:type="character" w:customStyle="1" w:styleId="107">
    <w:name w:val="正文文本缩进 Char1"/>
    <w:basedOn w:val="44"/>
    <w:semiHidden/>
    <w:qFormat/>
    <w:uiPriority w:val="99"/>
    <w:rPr>
      <w:rFonts w:eastAsia="宋体"/>
      <w:kern w:val="2"/>
      <w:sz w:val="21"/>
    </w:rPr>
  </w:style>
  <w:style w:type="paragraph" w:customStyle="1" w:styleId="108">
    <w:name w:val="Legal 3"/>
    <w:basedOn w:val="109"/>
    <w:next w:val="109"/>
    <w:qFormat/>
    <w:uiPriority w:val="0"/>
    <w:pPr>
      <w:spacing w:after="120"/>
    </w:pPr>
    <w:rPr>
      <w:rFonts w:cs="Times New Roman"/>
      <w:color w:val="auto"/>
    </w:rPr>
  </w:style>
  <w:style w:type="paragraph" w:customStyle="1" w:styleId="109">
    <w:name w:val="Defaul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110">
    <w:name w:val="标题 Char1"/>
    <w:basedOn w:val="44"/>
    <w:qFormat/>
    <w:uiPriority w:val="10"/>
    <w:rPr>
      <w:rFonts w:ascii="Cambria" w:hAnsi="Cambria" w:eastAsia="宋体" w:cs="Times New Roman"/>
      <w:b/>
      <w:bCs/>
      <w:sz w:val="32"/>
      <w:szCs w:val="32"/>
    </w:rPr>
  </w:style>
  <w:style w:type="character" w:customStyle="1" w:styleId="111">
    <w:name w:val="标题 字符"/>
    <w:basedOn w:val="44"/>
    <w:qFormat/>
    <w:uiPriority w:val="10"/>
    <w:rPr>
      <w:rFonts w:ascii="Cambria" w:hAnsi="Cambria" w:eastAsia="宋体" w:cs="Times New Roman"/>
      <w:b/>
      <w:bCs/>
      <w:sz w:val="32"/>
      <w:szCs w:val="32"/>
    </w:rPr>
  </w:style>
  <w:style w:type="character" w:customStyle="1" w:styleId="112">
    <w:name w:val="标题字符1"/>
    <w:qFormat/>
    <w:uiPriority w:val="10"/>
    <w:rPr>
      <w:rFonts w:ascii="Calibri" w:hAnsi="Calibri" w:eastAsia="宋体" w:cs="Times New Roman"/>
      <w:b/>
      <w:bCs/>
      <w:sz w:val="32"/>
      <w:szCs w:val="32"/>
    </w:rPr>
  </w:style>
  <w:style w:type="paragraph" w:customStyle="1" w:styleId="113">
    <w:name w:val="图表标题"/>
    <w:basedOn w:val="1"/>
    <w:next w:val="20"/>
    <w:qFormat/>
    <w:uiPriority w:val="0"/>
    <w:rPr>
      <w:rFonts w:ascii="Times New Roman" w:hAnsi="Times New Roman"/>
      <w:sz w:val="30"/>
      <w:szCs w:val="20"/>
    </w:rPr>
  </w:style>
  <w:style w:type="paragraph" w:customStyle="1" w:styleId="114">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115">
    <w:name w:val="Char"/>
    <w:basedOn w:val="1"/>
    <w:uiPriority w:val="0"/>
    <w:rPr>
      <w:rFonts w:ascii="仿宋_GB2312" w:hAnsi="Times New Roman" w:eastAsia="仿宋_GB2312"/>
      <w:b/>
      <w:sz w:val="32"/>
      <w:szCs w:val="32"/>
    </w:rPr>
  </w:style>
  <w:style w:type="paragraph" w:customStyle="1" w:styleId="116">
    <w:name w:val="Char4 Char Char Char"/>
    <w:basedOn w:val="17"/>
    <w:qFormat/>
    <w:uiPriority w:val="0"/>
    <w:rPr>
      <w:rFonts w:ascii="Tahoma" w:hAnsi="Tahoma"/>
      <w:sz w:val="24"/>
    </w:rPr>
  </w:style>
  <w:style w:type="paragraph" w:customStyle="1" w:styleId="117">
    <w:name w:val="表内文字"/>
    <w:basedOn w:val="1"/>
    <w:qFormat/>
    <w:uiPriority w:val="0"/>
    <w:pPr>
      <w:widowControl/>
      <w:ind w:firstLine="120" w:firstLineChars="50"/>
    </w:pPr>
    <w:rPr>
      <w:rFonts w:ascii="宋体" w:hAnsi="宋体"/>
      <w:sz w:val="24"/>
      <w:szCs w:val="20"/>
    </w:rPr>
  </w:style>
  <w:style w:type="paragraph" w:customStyle="1" w:styleId="118">
    <w:name w:val="Char Char Char"/>
    <w:basedOn w:val="1"/>
    <w:uiPriority w:val="0"/>
    <w:pPr>
      <w:ind w:firstLine="360" w:firstLineChars="150"/>
    </w:pPr>
    <w:rPr>
      <w:rFonts w:ascii="Tahoma" w:hAnsi="Tahoma"/>
      <w:sz w:val="24"/>
      <w:szCs w:val="20"/>
    </w:rPr>
  </w:style>
  <w:style w:type="paragraph" w:customStyle="1" w:styleId="119">
    <w:name w:val="样式 样式1 + 首行缩进:  2 字符"/>
    <w:basedOn w:val="1"/>
    <w:qFormat/>
    <w:uiPriority w:val="0"/>
    <w:pPr>
      <w:spacing w:line="360" w:lineRule="exact"/>
      <w:ind w:firstLine="420" w:firstLineChars="200"/>
    </w:pPr>
    <w:rPr>
      <w:rFonts w:ascii="Arial" w:hAnsi="Arial"/>
      <w:szCs w:val="20"/>
    </w:rPr>
  </w:style>
  <w:style w:type="paragraph" w:customStyle="1" w:styleId="120">
    <w:name w:val="legal 2"/>
    <w:basedOn w:val="109"/>
    <w:next w:val="109"/>
    <w:qFormat/>
    <w:uiPriority w:val="0"/>
    <w:pPr>
      <w:spacing w:after="120"/>
    </w:pPr>
    <w:rPr>
      <w:rFonts w:cs="Times New Roman"/>
      <w:color w:val="auto"/>
    </w:rPr>
  </w:style>
  <w:style w:type="paragraph" w:customStyle="1" w:styleId="121">
    <w:name w:val="列表延续"/>
    <w:basedOn w:val="1"/>
    <w:uiPriority w:val="0"/>
    <w:pPr>
      <w:numPr>
        <w:ilvl w:val="8"/>
        <w:numId w:val="3"/>
      </w:numPr>
      <w:adjustRightInd w:val="0"/>
      <w:spacing w:line="360" w:lineRule="auto"/>
      <w:textAlignment w:val="baseline"/>
    </w:pPr>
    <w:rPr>
      <w:rFonts w:ascii="Times New Roman" w:hAnsi="Tms Rmn" w:eastAsia="楷体_GB2312"/>
      <w:kern w:val="28"/>
      <w:sz w:val="28"/>
      <w:szCs w:val="20"/>
    </w:rPr>
  </w:style>
  <w:style w:type="paragraph" w:customStyle="1" w:styleId="122">
    <w:name w:val="Legal 5"/>
    <w:basedOn w:val="109"/>
    <w:next w:val="109"/>
    <w:qFormat/>
    <w:uiPriority w:val="0"/>
    <w:pPr>
      <w:spacing w:after="120"/>
    </w:pPr>
    <w:rPr>
      <w:rFonts w:cs="Times New Roman"/>
      <w:color w:val="auto"/>
    </w:rPr>
  </w:style>
  <w:style w:type="paragraph" w:customStyle="1" w:styleId="123">
    <w:name w:val="无间隔1"/>
    <w:qFormat/>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4">
    <w:name w:val="Legal 4"/>
    <w:basedOn w:val="109"/>
    <w:next w:val="109"/>
    <w:uiPriority w:val="0"/>
    <w:pPr>
      <w:spacing w:after="120"/>
    </w:pPr>
    <w:rPr>
      <w:rFonts w:cs="Times New Roman"/>
      <w:color w:val="auto"/>
    </w:rPr>
  </w:style>
  <w:style w:type="paragraph" w:customStyle="1" w:styleId="125">
    <w:name w:val="_Style 41"/>
    <w:next w:val="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6">
    <w:name w:val="正文文字3"/>
    <w:basedOn w:val="20"/>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27">
    <w:name w:val="1"/>
    <w:basedOn w:val="1"/>
    <w:qFormat/>
    <w:uiPriority w:val="0"/>
    <w:rPr>
      <w:rFonts w:ascii="仿宋_GB2312" w:hAnsi="Times New Roman" w:eastAsia="仿宋_GB2312"/>
      <w:b/>
      <w:sz w:val="32"/>
      <w:szCs w:val="32"/>
    </w:rPr>
  </w:style>
  <w:style w:type="paragraph" w:customStyle="1" w:styleId="128">
    <w:name w:val="TOC Heading"/>
    <w:basedOn w:val="2"/>
    <w:next w:val="1"/>
    <w:qFormat/>
    <w:uiPriority w:val="0"/>
    <w:pPr>
      <w:numPr>
        <w:ilvl w:val="0"/>
        <w:numId w:val="4"/>
      </w:numPr>
      <w:tabs>
        <w:tab w:val="clear" w:pos="780"/>
      </w:tabs>
      <w:spacing w:before="480" w:after="0" w:line="276" w:lineRule="auto"/>
      <w:ind w:left="0" w:firstLine="0"/>
      <w:outlineLvl w:val="9"/>
    </w:pPr>
    <w:rPr>
      <w:rFonts w:ascii="Cambria" w:hAnsi="Cambria" w:eastAsia="宋体"/>
      <w:color w:val="365F91"/>
      <w:kern w:val="0"/>
      <w:sz w:val="28"/>
      <w:szCs w:val="28"/>
    </w:rPr>
  </w:style>
  <w:style w:type="paragraph" w:customStyle="1" w:styleId="129">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130">
    <w:name w:val="正文 New"/>
    <w:qFormat/>
    <w:uiPriority w:val="0"/>
    <w:pPr>
      <w:widowControl w:val="0"/>
      <w:spacing w:after="0" w:line="400" w:lineRule="atLeast"/>
      <w:jc w:val="both"/>
    </w:pPr>
    <w:rPr>
      <w:rFonts w:ascii="Times New Roman" w:hAnsi="Times New Roman" w:eastAsia="仿宋_GB2312" w:cs="Times New Roman"/>
      <w:kern w:val="2"/>
      <w:sz w:val="24"/>
      <w:szCs w:val="20"/>
      <w:lang w:val="en-US" w:eastAsia="zh-CN" w:bidi="ar-SA"/>
    </w:rPr>
  </w:style>
  <w:style w:type="paragraph" w:customStyle="1" w:styleId="131">
    <w:name w:val="标准有序列表（L1）"/>
    <w:basedOn w:val="13"/>
    <w:qFormat/>
    <w:uiPriority w:val="0"/>
    <w:pPr>
      <w:tabs>
        <w:tab w:val="left" w:pos="0"/>
      </w:tabs>
      <w:adjustRightInd w:val="0"/>
      <w:snapToGrid w:val="0"/>
      <w:ind w:firstLine="0"/>
      <w:jc w:val="center"/>
    </w:pPr>
    <w:rPr>
      <w:rFonts w:ascii="宋体" w:hAnsi="宋体" w:cs="宋体"/>
      <w:color w:val="000000"/>
      <w:szCs w:val="21"/>
    </w:rPr>
  </w:style>
  <w:style w:type="character" w:customStyle="1" w:styleId="132">
    <w:name w:val="正文首行缩进 2 Char2"/>
    <w:basedOn w:val="107"/>
    <w:semiHidden/>
    <w:uiPriority w:val="99"/>
  </w:style>
  <w:style w:type="character" w:customStyle="1" w:styleId="133">
    <w:name w:val="正文首行缩进 Char2"/>
    <w:basedOn w:val="92"/>
    <w:semiHidden/>
    <w:qFormat/>
    <w:uiPriority w:val="99"/>
    <w:rPr>
      <w:rFonts w:ascii="Cambria" w:hAnsi="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3986</Words>
  <Characters>22722</Characters>
  <Lines>189</Lines>
  <Paragraphs>53</Paragraphs>
  <TotalTime>12</TotalTime>
  <ScaleCrop>false</ScaleCrop>
  <LinksUpToDate>false</LinksUpToDate>
  <CharactersWithSpaces>26655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宋宇</cp:lastModifiedBy>
  <dcterms:modified xsi:type="dcterms:W3CDTF">2019-10-31T03:27:36Z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