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ascii="黑体" w:hAnsi="黑体" w:eastAsia="黑体" w:cs="Times New Roman"/>
          <w:b/>
          <w:bCs/>
          <w:sz w:val="44"/>
          <w:szCs w:val="44"/>
        </w:rPr>
      </w:pPr>
      <w:r>
        <w:rPr>
          <w:rFonts w:hint="eastAsia" w:ascii="黑体" w:hAnsi="黑体" w:eastAsia="黑体" w:cs="Times New Roman"/>
          <w:b/>
          <w:bCs/>
          <w:sz w:val="44"/>
          <w:szCs w:val="44"/>
        </w:rPr>
        <w:t>航站楼</w:t>
      </w:r>
      <w:r>
        <w:rPr>
          <w:rFonts w:hint="eastAsia" w:ascii="黑体" w:hAnsi="黑体" w:eastAsia="黑体" w:cs="Times New Roman"/>
          <w:b/>
          <w:bCs/>
          <w:sz w:val="44"/>
          <w:szCs w:val="44"/>
          <w:lang w:val="en-US" w:eastAsia="zh-CN"/>
        </w:rPr>
        <w:t>电</w:t>
      </w:r>
      <w:r>
        <w:rPr>
          <w:rFonts w:hint="eastAsia" w:ascii="黑体" w:hAnsi="黑体" w:eastAsia="黑体" w:cs="Times New Roman"/>
          <w:b/>
          <w:bCs/>
          <w:sz w:val="44"/>
          <w:szCs w:val="44"/>
        </w:rPr>
        <w:t>梯</w:t>
      </w:r>
      <w:r>
        <w:rPr>
          <w:rFonts w:hint="eastAsia" w:ascii="黑体" w:hAnsi="黑体" w:eastAsia="黑体" w:cs="Times New Roman"/>
          <w:b/>
          <w:bCs/>
          <w:sz w:val="44"/>
          <w:szCs w:val="44"/>
          <w:lang w:val="en-US" w:eastAsia="zh-CN"/>
        </w:rPr>
        <w:t>轿厢大理石更换</w:t>
      </w:r>
    </w:p>
    <w:p>
      <w:pPr>
        <w:tabs>
          <w:tab w:val="left" w:pos="720"/>
        </w:tabs>
        <w:autoSpaceDE w:val="0"/>
        <w:autoSpaceDN w:val="0"/>
        <w:adjustRightInd w:val="0"/>
        <w:ind w:left="400"/>
        <w:jc w:val="center"/>
        <w:rPr>
          <w:rFonts w:eastAsia="黑体" w:cs="Times New Roman"/>
          <w:b/>
          <w:bCs/>
          <w:sz w:val="44"/>
          <w:szCs w:val="44"/>
        </w:rPr>
      </w:pP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rFonts w:hint="eastAsia" w:eastAsiaTheme="minorEastAsia"/>
          <w:b/>
          <w:bCs/>
          <w:sz w:val="44"/>
          <w:szCs w:val="44"/>
          <w:lang w:eastAsia="zh-CN"/>
        </w:rPr>
      </w:pPr>
    </w:p>
    <w:p>
      <w:pPr>
        <w:spacing w:line="560" w:lineRule="exact"/>
        <w:jc w:val="center"/>
        <w:rPr>
          <w:b/>
          <w:sz w:val="44"/>
          <w:szCs w:val="44"/>
        </w:rPr>
      </w:pP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pgNumType w:fmt="decimal"/>
          <w:cols w:space="425" w:num="1"/>
          <w:docGrid w:type="lines" w:linePitch="312" w:charSpace="0"/>
        </w:sectPr>
      </w:pPr>
      <w:r>
        <w:rPr>
          <w:rFonts w:hint="eastAsia"/>
          <w:b/>
        </w:rPr>
        <w:t xml:space="preserve">                                                          </w:t>
      </w:r>
    </w:p>
    <w:p>
      <w:pPr>
        <w:pStyle w:val="10"/>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15"/>
          <w:rFonts w:cs="宋体" w:asciiTheme="minorEastAsia" w:hAnsiTheme="minorEastAsia"/>
          <w:kern w:val="0"/>
          <w:sz w:val="22"/>
          <w:szCs w:val="22"/>
        </w:rPr>
      </w:pPr>
      <w:r>
        <w:rPr>
          <w:rStyle w:val="15"/>
          <w:rFonts w:hint="eastAsia" w:cs="宋体" w:asciiTheme="minorEastAsia" w:hAnsiTheme="minorEastAsia"/>
          <w:kern w:val="0"/>
          <w:sz w:val="22"/>
          <w:szCs w:val="22"/>
        </w:rPr>
        <w:t>杭州萧山国际机场有限公司就杭州萧山国际机场航站楼</w:t>
      </w:r>
      <w:r>
        <w:rPr>
          <w:rStyle w:val="15"/>
          <w:rFonts w:hint="eastAsia" w:cs="宋体" w:asciiTheme="minorEastAsia" w:hAnsiTheme="minorEastAsia"/>
          <w:kern w:val="0"/>
          <w:sz w:val="22"/>
          <w:szCs w:val="22"/>
          <w:lang w:val="en-US"/>
        </w:rPr>
        <w:t>及场区部分电梯轿厢内大理石进行更换</w:t>
      </w:r>
      <w:r>
        <w:rPr>
          <w:rStyle w:val="15"/>
          <w:rFonts w:hint="eastAsia" w:cs="宋体" w:asciiTheme="minorEastAsia" w:hAnsiTheme="minorEastAsia"/>
          <w:kern w:val="0"/>
          <w:sz w:val="22"/>
          <w:szCs w:val="22"/>
        </w:rPr>
        <w:t>项目进行公开招标，欢迎符合资格要求的供应商参与投标。</w:t>
      </w:r>
    </w:p>
    <w:p>
      <w:pPr>
        <w:widowControl/>
        <w:adjustRightInd w:val="0"/>
        <w:snapToGrid w:val="0"/>
        <w:spacing w:line="340" w:lineRule="exact"/>
        <w:ind w:firstLine="440" w:firstLineChars="200"/>
        <w:rPr>
          <w:rStyle w:val="15"/>
          <w:rFonts w:cs="宋体" w:asciiTheme="minorEastAsia" w:hAnsiTheme="minorEastAsia"/>
          <w:sz w:val="22"/>
          <w:szCs w:val="22"/>
        </w:rPr>
      </w:pPr>
      <w:r>
        <w:rPr>
          <w:rStyle w:val="15"/>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14"/>
          <w:rFonts w:eastAsia="宋体"/>
        </w:rPr>
      </w:pPr>
      <w:r>
        <w:rPr>
          <w:rStyle w:val="14"/>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15"/>
          <w:rFonts w:hint="eastAsia" w:cs="宋体" w:asciiTheme="minorEastAsia" w:hAnsiTheme="minorEastAsia"/>
          <w:sz w:val="22"/>
          <w:szCs w:val="22"/>
        </w:rPr>
        <w:t>具有独立法人资格的</w:t>
      </w:r>
      <w:r>
        <w:rPr>
          <w:rStyle w:val="15"/>
          <w:rFonts w:hint="eastAsia" w:cs="宋体" w:asciiTheme="minorEastAsia" w:hAnsiTheme="minorEastAsia"/>
          <w:sz w:val="22"/>
          <w:szCs w:val="22"/>
          <w:lang w:val="en-US"/>
        </w:rPr>
        <w:t>石材销售、建材销售安装、或装修资格</w:t>
      </w:r>
      <w:r>
        <w:rPr>
          <w:rStyle w:val="15"/>
          <w:rFonts w:hint="eastAsia" w:cs="宋体" w:asciiTheme="minorEastAsia" w:hAnsiTheme="minorEastAsia"/>
          <w:sz w:val="22"/>
          <w:szCs w:val="22"/>
        </w:rPr>
        <w:t>的合法单位，注册资金不少于人民币</w:t>
      </w:r>
      <w:r>
        <w:rPr>
          <w:rStyle w:val="15"/>
          <w:rFonts w:hint="eastAsia" w:cs="宋体" w:asciiTheme="minorEastAsia" w:hAnsiTheme="minorEastAsia"/>
          <w:sz w:val="22"/>
          <w:szCs w:val="22"/>
          <w:u w:val="single"/>
        </w:rPr>
        <w:t xml:space="preserve">   </w:t>
      </w:r>
      <w:r>
        <w:rPr>
          <w:rStyle w:val="15"/>
          <w:rFonts w:hint="eastAsia" w:cs="宋体" w:asciiTheme="minorEastAsia" w:hAnsiTheme="minorEastAsia"/>
          <w:sz w:val="22"/>
          <w:szCs w:val="22"/>
          <w:u w:val="single"/>
          <w:lang w:val="en-US"/>
        </w:rPr>
        <w:t>5</w:t>
      </w:r>
      <w:r>
        <w:rPr>
          <w:rStyle w:val="15"/>
          <w:rFonts w:hint="eastAsia" w:cs="宋体" w:asciiTheme="minorEastAsia" w:hAnsiTheme="minorEastAsia"/>
          <w:sz w:val="22"/>
          <w:szCs w:val="22"/>
          <w:u w:val="single"/>
        </w:rPr>
        <w:t xml:space="preserve">0 </w:t>
      </w:r>
      <w:r>
        <w:rPr>
          <w:rStyle w:val="15"/>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hint="eastAsia" w:cs="Arial" w:asciiTheme="minorEastAsia" w:hAnsiTheme="minorEastAsia"/>
          <w:kern w:val="0"/>
          <w:sz w:val="22"/>
          <w:szCs w:val="22"/>
          <w:lang w:val="en-US" w:eastAsia="zh-CN"/>
        </w:rPr>
        <w:t>4</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05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05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05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w:t>
      </w:r>
      <w:r>
        <w:rPr>
          <w:rFonts w:hint="eastAsia" w:asciiTheme="minorEastAsia" w:hAnsiTheme="minorEastAsia"/>
          <w:sz w:val="22"/>
          <w:szCs w:val="22"/>
          <w:lang w:eastAsia="zh-CN"/>
        </w:rPr>
        <w:t>周平</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联系电话：0571-8666</w:t>
      </w:r>
      <w:r>
        <w:rPr>
          <w:rFonts w:hint="eastAsia" w:asciiTheme="minorEastAsia" w:hAnsiTheme="minorEastAsia"/>
          <w:sz w:val="22"/>
          <w:szCs w:val="22"/>
          <w:lang w:val="en-US" w:eastAsia="zh-CN"/>
        </w:rPr>
        <w:t>7162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w:t>
      </w:r>
      <w:r>
        <w:rPr>
          <w:rFonts w:hint="eastAsia" w:asciiTheme="minorEastAsia" w:hAnsiTheme="minorEastAsia"/>
          <w:sz w:val="22"/>
          <w:szCs w:val="22"/>
          <w:lang w:val="en-US" w:eastAsia="zh-CN"/>
        </w:rPr>
        <w:t>杜鑫琴</w:t>
      </w:r>
      <w:r>
        <w:rPr>
          <w:rFonts w:hint="eastAsia" w:asciiTheme="minorEastAsia" w:hAnsiTheme="minorEastAsia"/>
          <w:sz w:val="22"/>
          <w:szCs w:val="22"/>
        </w:rPr>
        <w:t xml:space="preserve">   </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 xml:space="preserve"> 联系电话：0571-86662</w:t>
      </w:r>
      <w:r>
        <w:rPr>
          <w:rFonts w:hint="eastAsia" w:asciiTheme="minorEastAsia" w:hAnsiTheme="minorEastAsia"/>
          <w:sz w:val="22"/>
          <w:szCs w:val="22"/>
          <w:lang w:val="en-US" w:eastAsia="zh-CN"/>
        </w:rPr>
        <w:t>361</w:t>
      </w:r>
    </w:p>
    <w:p>
      <w:pPr>
        <w:pStyle w:val="10"/>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5"/>
        <w:spacing w:line="240" w:lineRule="auto"/>
        <w:ind w:left="480"/>
        <w:jc w:val="center"/>
        <w:rPr>
          <w:b/>
          <w:sz w:val="28"/>
          <w:szCs w:val="28"/>
        </w:rPr>
      </w:pPr>
      <w:r>
        <w:rPr>
          <w:rFonts w:hint="eastAsia"/>
          <w:b/>
          <w:sz w:val="28"/>
          <w:szCs w:val="28"/>
        </w:rPr>
        <w:t>投标人须知前附表</w:t>
      </w:r>
    </w:p>
    <w:tbl>
      <w:tblPr>
        <w:tblStyle w:val="11"/>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w:t>
            </w:r>
            <w:r>
              <w:rPr>
                <w:rFonts w:hint="eastAsia" w:ascii="宋体" w:hAnsi="宋体" w:cs="宋体"/>
                <w:kern w:val="0"/>
                <w:sz w:val="22"/>
                <w:szCs w:val="22"/>
                <w:lang w:val="en-US" w:eastAsia="zh-CN"/>
              </w:rPr>
              <w:t>航站楼及场区电梯轿厢大理石更换</w:t>
            </w:r>
            <w:r>
              <w:rPr>
                <w:rFonts w:hint="eastAsia" w:ascii="宋体" w:hAnsi="宋体" w:cs="宋体"/>
                <w:kern w:val="0"/>
                <w:sz w:val="22"/>
                <w:szCs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sz w:val="22"/>
                <w:u w:val="single"/>
                <w:lang w:val="en-US" w:eastAsia="zh-CN"/>
              </w:rPr>
              <w:t>10</w:t>
            </w:r>
            <w:r>
              <w:rPr>
                <w:rFonts w:hint="eastAsia" w:ascii="宋体" w:hAnsi="宋体"/>
                <w:sz w:val="22"/>
                <w:u w:val="single"/>
              </w:rPr>
              <w:t xml:space="preserve">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01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周平</w:t>
            </w:r>
            <w:r>
              <w:rPr>
                <w:rFonts w:hint="eastAsia" w:ascii="宋体" w:hAnsi="宋体" w:cs="Calibri"/>
                <w:kern w:val="0"/>
                <w:sz w:val="22"/>
              </w:rPr>
              <w:t>，电话0571-8666</w:t>
            </w:r>
            <w:r>
              <w:rPr>
                <w:rFonts w:hint="eastAsia" w:ascii="宋体" w:hAnsi="宋体" w:cs="Calibri"/>
                <w:kern w:val="0"/>
                <w:sz w:val="22"/>
                <w:lang w:val="en-US" w:eastAsia="zh-CN"/>
              </w:rPr>
              <w:t>7162</w:t>
            </w:r>
            <w:r>
              <w:rPr>
                <w:rFonts w:hint="eastAsia" w:ascii="宋体" w:hAnsi="宋体" w:cs="Calibri"/>
                <w:kern w:val="0"/>
                <w:sz w:val="22"/>
              </w:rPr>
              <w:t>；传真：0571-8666</w:t>
            </w:r>
            <w:r>
              <w:rPr>
                <w:rFonts w:hint="eastAsia" w:ascii="宋体" w:hAnsi="宋体" w:cs="Calibri"/>
                <w:kern w:val="0"/>
                <w:sz w:val="22"/>
                <w:lang w:val="en-US" w:eastAsia="zh-CN"/>
              </w:rPr>
              <w:t>1149</w:t>
            </w:r>
            <w:r>
              <w:rPr>
                <w:rFonts w:hint="eastAsia" w:ascii="宋体" w:hAnsi="宋体" w:cs="Calibri"/>
                <w:kern w:val="0"/>
                <w:sz w:val="22"/>
              </w:rPr>
              <w:t>；电子邮箱：</w:t>
            </w:r>
            <w:r>
              <w:rPr>
                <w:rFonts w:hint="eastAsia" w:ascii="宋体" w:hAnsi="宋体" w:cs="Calibri"/>
                <w:kern w:val="0"/>
                <w:sz w:val="22"/>
                <w:lang w:val="en-US" w:eastAsia="zh-CN"/>
              </w:rPr>
              <w:t>zhouping02</w:t>
            </w:r>
            <w:r>
              <w:rPr>
                <w:rFonts w:hint="eastAsia" w:ascii="宋体" w:hAnsi="宋体" w:cs="Calibri"/>
                <w:kern w:val="0"/>
                <w:sz w:val="22"/>
              </w:rPr>
              <w:t>@hzairport.com）投标人必须在规定时间前提出对招标文件的疑问，否则招标人有权拒绝接收和拒绝回答未在截止时间前提出的疑问。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05</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w:t>
            </w:r>
            <w:r>
              <w:rPr>
                <w:rFonts w:hint="eastAsia" w:ascii="宋体" w:hAnsi="宋体" w:cs="宋体"/>
                <w:color w:val="000000"/>
                <w:lang w:val="en-US" w:eastAsia="zh-CN"/>
              </w:rPr>
              <w:t>航站楼及场区电梯轿厢大理石更换</w:t>
            </w:r>
            <w:r>
              <w:rPr>
                <w:rFonts w:hint="eastAsia" w:ascii="宋体" w:hAnsi="宋体" w:cs="宋体"/>
                <w:color w:val="000000"/>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05</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bookmarkStart w:id="98" w:name="_GoBack"/>
            <w:bookmarkEnd w:id="98"/>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8.1</w:t>
            </w:r>
          </w:p>
        </w:tc>
        <w:tc>
          <w:tcPr>
            <w:tcW w:w="2004" w:type="dxa"/>
            <w:shd w:val="clear" w:color="auto" w:fill="auto"/>
            <w:vAlign w:val="center"/>
          </w:tcPr>
          <w:p>
            <w:pPr>
              <w:pStyle w:val="9"/>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8.2</w:t>
            </w:r>
          </w:p>
        </w:tc>
        <w:tc>
          <w:tcPr>
            <w:tcW w:w="2004" w:type="dxa"/>
            <w:shd w:val="clear" w:color="auto" w:fill="auto"/>
            <w:vAlign w:val="center"/>
          </w:tcPr>
          <w:p>
            <w:pPr>
              <w:pStyle w:val="9"/>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 xml:space="preserve">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11806"/>
      <w:bookmarkStart w:id="43" w:name="_Toc220123241"/>
      <w:bookmarkStart w:id="44" w:name="_Toc219809801"/>
      <w:r>
        <w:rPr>
          <w:rFonts w:ascii="宋体" w:hAnsi="宋体" w:cs="Calibri"/>
          <w:kern w:val="0"/>
          <w:sz w:val="22"/>
        </w:rPr>
        <w:t>.</w:t>
      </w:r>
      <w:r>
        <w:rPr>
          <w:rFonts w:hint="eastAsia" w:ascii="宋体" w:hAnsi="宋体" w:cs="Calibri"/>
          <w:kern w:val="0"/>
          <w:sz w:val="22"/>
          <w:lang w:val="en-US" w:eastAsia="zh-CN"/>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7.</w:t>
      </w:r>
      <w:r>
        <w:rPr>
          <w:rFonts w:hint="eastAsia" w:cs="Calibri" w:asciiTheme="minorEastAsia" w:hAnsiTheme="minorEastAsia"/>
          <w:color w:val="000000"/>
          <w:kern w:val="0"/>
          <w:sz w:val="22"/>
          <w:lang w:val="en-US" w:eastAsia="zh-CN"/>
        </w:rPr>
        <w:t>3</w:t>
      </w:r>
      <w:r>
        <w:rPr>
          <w:rFonts w:hint="eastAsia" w:cs="Calibri" w:asciiTheme="minorEastAsia" w:hAnsiTheme="minorEastAsia"/>
          <w:color w:val="000000"/>
          <w:kern w:val="0"/>
          <w:sz w:val="22"/>
        </w:rPr>
        <w:t xml:space="preserve">.3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7.</w:t>
      </w:r>
      <w:r>
        <w:rPr>
          <w:rFonts w:hint="eastAsia" w:cs="Calibri" w:asciiTheme="minorEastAsia" w:hAnsiTheme="minorEastAsia"/>
          <w:color w:val="000000"/>
          <w:kern w:val="0"/>
          <w:sz w:val="22"/>
          <w:lang w:val="en-US" w:eastAsia="zh-CN"/>
        </w:rPr>
        <w:t>3</w:t>
      </w:r>
      <w:r>
        <w:rPr>
          <w:rFonts w:hint="eastAsia" w:cs="Calibri" w:asciiTheme="minorEastAsia" w:hAnsiTheme="minorEastAsia"/>
          <w:color w:val="000000"/>
          <w:kern w:val="0"/>
          <w:sz w:val="22"/>
        </w:rPr>
        <w:t xml:space="preserve">.4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20123242"/>
      <w:bookmarkStart w:id="46" w:name="_Toc15553"/>
      <w:bookmarkStart w:id="47" w:name="_Toc219809802"/>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19809803"/>
      <w:bookmarkStart w:id="49" w:name="_Toc18806"/>
      <w:bookmarkStart w:id="50" w:name="_Toc220123243"/>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15941254"/>
      <w:bookmarkStart w:id="52" w:name="_Toc2986"/>
      <w:bookmarkStart w:id="53" w:name="_Toc219809804"/>
      <w:bookmarkStart w:id="54" w:name="_Toc220123244"/>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5509"/>
      <w:bookmarkStart w:id="56" w:name="_Toc220123245"/>
      <w:bookmarkStart w:id="57" w:name="_Toc219809805"/>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10820"/>
      <w:bookmarkStart w:id="59" w:name="_Toc219809806"/>
      <w:bookmarkStart w:id="60" w:name="_Toc220123246"/>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220123247"/>
      <w:bookmarkStart w:id="62" w:name="_Toc10756"/>
      <w:bookmarkStart w:id="63" w:name="_Toc219809807"/>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12792"/>
      <w:bookmarkStart w:id="66" w:name="_Toc220123248"/>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20123249"/>
      <w:bookmarkStart w:id="68" w:name="_Toc219809809"/>
      <w:bookmarkStart w:id="69" w:name="_Toc23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0"/>
        <w:numPr>
          <w:ilvl w:val="0"/>
          <w:numId w:val="1"/>
        </w:numPr>
      </w:pPr>
      <w:r>
        <w:rPr>
          <w:sz w:val="24"/>
        </w:rPr>
        <w:br w:type="page"/>
      </w:r>
      <w:bookmarkStart w:id="71" w:name="_Toc321925453"/>
      <w:r>
        <w:t xml:space="preserve"> 货物需求一览表及技术规格</w:t>
      </w:r>
      <w:bookmarkEnd w:id="71"/>
    </w:p>
    <w:p>
      <w:pPr>
        <w:rPr>
          <w:sz w:val="32"/>
          <w:szCs w:val="32"/>
        </w:rPr>
      </w:pPr>
      <w:r>
        <w:rPr>
          <w:rFonts w:hint="eastAsia"/>
        </w:rPr>
        <w:t>1、</w:t>
      </w:r>
      <w:r>
        <w:rPr>
          <w:rFonts w:hint="eastAsia"/>
          <w:sz w:val="32"/>
          <w:szCs w:val="32"/>
        </w:rPr>
        <w:t>货物总量及规格型号</w:t>
      </w:r>
    </w:p>
    <w:p>
      <w:pPr>
        <w:rPr>
          <w:rFonts w:hint="default"/>
          <w:sz w:val="32"/>
          <w:szCs w:val="32"/>
          <w:lang w:val="en-US" w:eastAsia="zh-CN"/>
        </w:rPr>
      </w:pPr>
      <w:r>
        <w:rPr>
          <w:rFonts w:hint="eastAsia"/>
          <w:sz w:val="32"/>
          <w:szCs w:val="32"/>
          <w:lang w:val="en-US" w:eastAsia="zh-CN"/>
        </w:rPr>
        <w:t>1.1总计22台电梯轿厢大理石。（具体梯号由招标方现场指定）</w:t>
      </w:r>
    </w:p>
    <w:p>
      <w:pPr>
        <w:rPr>
          <w:rFonts w:hint="eastAsia"/>
          <w:sz w:val="32"/>
          <w:szCs w:val="32"/>
          <w:lang w:val="en-US" w:eastAsia="zh-CN"/>
        </w:rPr>
      </w:pPr>
      <w:r>
        <w:rPr>
          <w:rFonts w:hint="eastAsia"/>
          <w:sz w:val="32"/>
          <w:szCs w:val="32"/>
          <w:lang w:val="en-US" w:eastAsia="zh-CN"/>
        </w:rPr>
        <w:t>1.2每台面积约2.5平方米。（具体面积根根每台轿厢底面的实际尺寸）</w:t>
      </w:r>
    </w:p>
    <w:p>
      <w:pPr>
        <w:rPr>
          <w:rFonts w:hint="eastAsia"/>
          <w:sz w:val="32"/>
          <w:szCs w:val="32"/>
          <w:lang w:val="en-US" w:eastAsia="zh-CN"/>
        </w:rPr>
      </w:pPr>
      <w:r>
        <w:rPr>
          <w:rFonts w:hint="eastAsia"/>
          <w:sz w:val="32"/>
          <w:szCs w:val="32"/>
          <w:lang w:val="en-US" w:eastAsia="zh-CN"/>
        </w:rPr>
        <w:t>1.3大理石厚度参照原来尺寸1.5CM。</w:t>
      </w:r>
    </w:p>
    <w:p>
      <w:pPr>
        <w:rPr>
          <w:rFonts w:hint="default"/>
          <w:sz w:val="32"/>
          <w:szCs w:val="32"/>
          <w:lang w:val="en-US" w:eastAsia="zh-CN"/>
        </w:rPr>
      </w:pPr>
      <w:r>
        <w:rPr>
          <w:rFonts w:hint="eastAsia"/>
          <w:sz w:val="32"/>
          <w:szCs w:val="32"/>
          <w:lang w:val="en-US" w:eastAsia="zh-CN"/>
        </w:rPr>
        <w:t>1.4石材颜色参照原来地面颜色</w:t>
      </w:r>
    </w:p>
    <w:p>
      <w:pPr>
        <w:rPr>
          <w:rFonts w:ascii="Cambria" w:hAnsi="Cambria" w:eastAsia="黑体" w:cs="Times New Roman"/>
          <w:b/>
          <w:bCs/>
          <w:kern w:val="0"/>
          <w:sz w:val="32"/>
          <w:szCs w:val="32"/>
        </w:rPr>
      </w:pPr>
      <w:r>
        <w:rPr>
          <w:sz w:val="32"/>
          <w:szCs w:val="32"/>
        </w:rPr>
        <w:br w:type="page"/>
      </w:r>
    </w:p>
    <w:p>
      <w:pPr>
        <w:pStyle w:val="10"/>
      </w:pPr>
      <w:r>
        <w:rPr>
          <w:rFonts w:hint="eastAsia"/>
        </w:rPr>
        <w:t xml:space="preserve">第四章  </w:t>
      </w:r>
      <w:r>
        <w:t>合同条款</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16"/>
              <w:snapToGrid w:val="0"/>
              <w:jc w:val="left"/>
              <w:rPr>
                <w:rFonts w:ascii="宋体" w:hAnsi="宋体"/>
                <w:b/>
                <w:sz w:val="22"/>
              </w:rPr>
            </w:pPr>
            <w:r>
              <w:rPr>
                <w:rFonts w:hint="eastAsia" w:ascii="宋体" w:hAnsi="宋体"/>
                <w:b/>
                <w:sz w:val="22"/>
              </w:rPr>
              <w:t>序号</w:t>
            </w:r>
          </w:p>
        </w:tc>
        <w:tc>
          <w:tcPr>
            <w:tcW w:w="1530" w:type="dxa"/>
            <w:vAlign w:val="center"/>
          </w:tcPr>
          <w:p>
            <w:pPr>
              <w:pStyle w:val="16"/>
              <w:snapToGrid w:val="0"/>
              <w:jc w:val="left"/>
              <w:rPr>
                <w:rFonts w:ascii="宋体" w:hAnsi="宋体"/>
                <w:b/>
                <w:sz w:val="22"/>
              </w:rPr>
            </w:pPr>
            <w:r>
              <w:rPr>
                <w:rFonts w:hint="eastAsia" w:ascii="宋体" w:hAnsi="宋体"/>
                <w:b/>
                <w:sz w:val="22"/>
              </w:rPr>
              <w:t>产品名称</w:t>
            </w:r>
          </w:p>
        </w:tc>
        <w:tc>
          <w:tcPr>
            <w:tcW w:w="1015" w:type="dxa"/>
            <w:vAlign w:val="center"/>
          </w:tcPr>
          <w:p>
            <w:pPr>
              <w:pStyle w:val="16"/>
              <w:snapToGrid w:val="0"/>
              <w:jc w:val="left"/>
              <w:rPr>
                <w:rFonts w:ascii="宋体" w:hAnsi="宋体"/>
                <w:b/>
                <w:sz w:val="22"/>
              </w:rPr>
            </w:pPr>
            <w:r>
              <w:rPr>
                <w:rFonts w:hint="eastAsia" w:ascii="宋体" w:hAnsi="宋体"/>
                <w:b/>
                <w:sz w:val="22"/>
              </w:rPr>
              <w:t>品牌型号</w:t>
            </w:r>
          </w:p>
        </w:tc>
        <w:tc>
          <w:tcPr>
            <w:tcW w:w="1979" w:type="dxa"/>
            <w:vAlign w:val="center"/>
          </w:tcPr>
          <w:p>
            <w:pPr>
              <w:pStyle w:val="16"/>
              <w:snapToGrid w:val="0"/>
              <w:jc w:val="center"/>
              <w:rPr>
                <w:rFonts w:ascii="宋体" w:hAnsi="宋体"/>
                <w:b/>
                <w:sz w:val="22"/>
              </w:rPr>
            </w:pPr>
            <w:r>
              <w:rPr>
                <w:rFonts w:hint="eastAsia" w:ascii="宋体" w:hAnsi="宋体"/>
                <w:b/>
                <w:sz w:val="22"/>
              </w:rPr>
              <w:t>单位</w:t>
            </w:r>
          </w:p>
        </w:tc>
        <w:tc>
          <w:tcPr>
            <w:tcW w:w="714" w:type="dxa"/>
            <w:vAlign w:val="center"/>
          </w:tcPr>
          <w:p>
            <w:pPr>
              <w:pStyle w:val="16"/>
              <w:snapToGrid w:val="0"/>
              <w:jc w:val="left"/>
              <w:rPr>
                <w:rFonts w:ascii="宋体" w:hAnsi="宋体"/>
                <w:b/>
                <w:sz w:val="22"/>
              </w:rPr>
            </w:pPr>
            <w:r>
              <w:rPr>
                <w:rFonts w:hint="eastAsia" w:ascii="宋体" w:hAnsi="宋体"/>
                <w:b/>
                <w:sz w:val="22"/>
              </w:rPr>
              <w:t>数量</w:t>
            </w:r>
          </w:p>
        </w:tc>
        <w:tc>
          <w:tcPr>
            <w:tcW w:w="1137" w:type="dxa"/>
            <w:vAlign w:val="center"/>
          </w:tcPr>
          <w:p>
            <w:pPr>
              <w:pStyle w:val="16"/>
              <w:snapToGrid w:val="0"/>
              <w:jc w:val="center"/>
              <w:rPr>
                <w:rFonts w:ascii="宋体" w:hAnsi="宋体"/>
                <w:b/>
                <w:sz w:val="22"/>
              </w:rPr>
            </w:pPr>
            <w:r>
              <w:rPr>
                <w:rFonts w:hint="eastAsia" w:ascii="宋体" w:hAnsi="宋体"/>
                <w:b/>
                <w:sz w:val="22"/>
              </w:rPr>
              <w:t>单价（元）</w:t>
            </w:r>
          </w:p>
        </w:tc>
        <w:tc>
          <w:tcPr>
            <w:tcW w:w="1122" w:type="dxa"/>
            <w:vAlign w:val="center"/>
          </w:tcPr>
          <w:p>
            <w:pPr>
              <w:pStyle w:val="16"/>
              <w:snapToGrid w:val="0"/>
              <w:jc w:val="center"/>
              <w:rPr>
                <w:rFonts w:ascii="宋体" w:hAnsi="宋体"/>
                <w:b/>
                <w:sz w:val="22"/>
              </w:rPr>
            </w:pPr>
            <w:r>
              <w:rPr>
                <w:rFonts w:hint="eastAsia" w:ascii="宋体" w:hAnsi="宋体"/>
                <w:b/>
                <w:sz w:val="22"/>
              </w:rPr>
              <w:t>金额</w:t>
            </w:r>
          </w:p>
          <w:p>
            <w:pPr>
              <w:pStyle w:val="16"/>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6"/>
              <w:snapToGrid w:val="0"/>
              <w:ind w:firstLine="440" w:firstLineChars="200"/>
              <w:jc w:val="left"/>
              <w:rPr>
                <w:rFonts w:ascii="宋体" w:hAnsi="宋体"/>
                <w:sz w:val="22"/>
              </w:rPr>
            </w:pPr>
          </w:p>
        </w:tc>
        <w:tc>
          <w:tcPr>
            <w:tcW w:w="1530" w:type="dxa"/>
            <w:vAlign w:val="center"/>
          </w:tcPr>
          <w:p>
            <w:pPr>
              <w:pStyle w:val="16"/>
              <w:snapToGrid w:val="0"/>
              <w:ind w:firstLine="440" w:firstLineChars="200"/>
              <w:jc w:val="left"/>
              <w:rPr>
                <w:rFonts w:ascii="宋体" w:hAnsi="宋体"/>
                <w:sz w:val="22"/>
              </w:rPr>
            </w:pPr>
          </w:p>
        </w:tc>
        <w:tc>
          <w:tcPr>
            <w:tcW w:w="1015" w:type="dxa"/>
            <w:vAlign w:val="center"/>
          </w:tcPr>
          <w:p>
            <w:pPr>
              <w:pStyle w:val="16"/>
              <w:snapToGrid w:val="0"/>
              <w:ind w:firstLine="440" w:firstLineChars="200"/>
              <w:jc w:val="left"/>
              <w:rPr>
                <w:rFonts w:ascii="宋体" w:hAnsi="宋体"/>
                <w:sz w:val="22"/>
              </w:rPr>
            </w:pPr>
          </w:p>
        </w:tc>
        <w:tc>
          <w:tcPr>
            <w:tcW w:w="1979" w:type="dxa"/>
            <w:vAlign w:val="center"/>
          </w:tcPr>
          <w:p>
            <w:pPr>
              <w:pStyle w:val="16"/>
              <w:snapToGrid w:val="0"/>
              <w:ind w:firstLine="440" w:firstLineChars="200"/>
              <w:jc w:val="left"/>
              <w:rPr>
                <w:rFonts w:ascii="宋体" w:hAnsi="宋体"/>
                <w:sz w:val="22"/>
              </w:rPr>
            </w:pPr>
          </w:p>
        </w:tc>
        <w:tc>
          <w:tcPr>
            <w:tcW w:w="714" w:type="dxa"/>
            <w:vAlign w:val="center"/>
          </w:tcPr>
          <w:p>
            <w:pPr>
              <w:pStyle w:val="16"/>
              <w:snapToGrid w:val="0"/>
              <w:ind w:firstLine="440" w:firstLineChars="200"/>
              <w:jc w:val="left"/>
              <w:rPr>
                <w:rFonts w:ascii="宋体" w:hAnsi="宋体"/>
                <w:sz w:val="22"/>
              </w:rPr>
            </w:pPr>
          </w:p>
        </w:tc>
        <w:tc>
          <w:tcPr>
            <w:tcW w:w="1137" w:type="dxa"/>
            <w:vAlign w:val="center"/>
          </w:tcPr>
          <w:p>
            <w:pPr>
              <w:pStyle w:val="16"/>
              <w:snapToGrid w:val="0"/>
              <w:ind w:firstLine="440" w:firstLineChars="200"/>
              <w:jc w:val="left"/>
              <w:rPr>
                <w:rFonts w:ascii="宋体" w:hAnsi="宋体"/>
                <w:sz w:val="22"/>
              </w:rPr>
            </w:pPr>
          </w:p>
        </w:tc>
        <w:tc>
          <w:tcPr>
            <w:tcW w:w="1122" w:type="dxa"/>
            <w:vAlign w:val="center"/>
          </w:tcPr>
          <w:p>
            <w:pPr>
              <w:pStyle w:val="1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6"/>
              <w:snapToGrid w:val="0"/>
              <w:ind w:firstLine="440" w:firstLineChars="200"/>
              <w:jc w:val="left"/>
              <w:rPr>
                <w:rFonts w:ascii="宋体" w:hAnsi="宋体"/>
                <w:sz w:val="22"/>
              </w:rPr>
            </w:pPr>
          </w:p>
        </w:tc>
        <w:tc>
          <w:tcPr>
            <w:tcW w:w="1530" w:type="dxa"/>
            <w:vAlign w:val="center"/>
          </w:tcPr>
          <w:p>
            <w:pPr>
              <w:pStyle w:val="16"/>
              <w:snapToGrid w:val="0"/>
              <w:ind w:firstLine="440" w:firstLineChars="200"/>
              <w:jc w:val="left"/>
              <w:rPr>
                <w:rFonts w:ascii="宋体" w:hAnsi="宋体"/>
                <w:sz w:val="22"/>
              </w:rPr>
            </w:pPr>
          </w:p>
        </w:tc>
        <w:tc>
          <w:tcPr>
            <w:tcW w:w="1015" w:type="dxa"/>
            <w:vAlign w:val="center"/>
          </w:tcPr>
          <w:p>
            <w:pPr>
              <w:pStyle w:val="16"/>
              <w:snapToGrid w:val="0"/>
              <w:ind w:firstLine="440" w:firstLineChars="200"/>
              <w:jc w:val="left"/>
              <w:rPr>
                <w:rFonts w:ascii="宋体" w:hAnsi="宋体"/>
                <w:sz w:val="22"/>
              </w:rPr>
            </w:pPr>
          </w:p>
        </w:tc>
        <w:tc>
          <w:tcPr>
            <w:tcW w:w="1979" w:type="dxa"/>
            <w:vAlign w:val="center"/>
          </w:tcPr>
          <w:p>
            <w:pPr>
              <w:pStyle w:val="16"/>
              <w:snapToGrid w:val="0"/>
              <w:ind w:firstLine="440" w:firstLineChars="200"/>
              <w:jc w:val="left"/>
              <w:rPr>
                <w:rFonts w:ascii="宋体" w:hAnsi="宋体"/>
                <w:sz w:val="22"/>
              </w:rPr>
            </w:pPr>
          </w:p>
        </w:tc>
        <w:tc>
          <w:tcPr>
            <w:tcW w:w="714" w:type="dxa"/>
            <w:vAlign w:val="center"/>
          </w:tcPr>
          <w:p>
            <w:pPr>
              <w:pStyle w:val="16"/>
              <w:snapToGrid w:val="0"/>
              <w:ind w:firstLine="440" w:firstLineChars="200"/>
              <w:jc w:val="left"/>
              <w:rPr>
                <w:rFonts w:ascii="宋体" w:hAnsi="宋体"/>
                <w:sz w:val="22"/>
              </w:rPr>
            </w:pPr>
          </w:p>
        </w:tc>
        <w:tc>
          <w:tcPr>
            <w:tcW w:w="1137" w:type="dxa"/>
            <w:vAlign w:val="center"/>
          </w:tcPr>
          <w:p>
            <w:pPr>
              <w:pStyle w:val="16"/>
              <w:snapToGrid w:val="0"/>
              <w:ind w:firstLine="440" w:firstLineChars="200"/>
              <w:jc w:val="left"/>
              <w:rPr>
                <w:rFonts w:ascii="宋体" w:hAnsi="宋体"/>
                <w:sz w:val="22"/>
              </w:rPr>
            </w:pPr>
          </w:p>
        </w:tc>
        <w:tc>
          <w:tcPr>
            <w:tcW w:w="1122" w:type="dxa"/>
            <w:vAlign w:val="center"/>
          </w:tcPr>
          <w:p>
            <w:pPr>
              <w:pStyle w:val="1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6"/>
              <w:snapToGrid w:val="0"/>
              <w:ind w:firstLine="440" w:firstLineChars="200"/>
              <w:jc w:val="left"/>
              <w:rPr>
                <w:rFonts w:ascii="宋体" w:hAnsi="宋体"/>
                <w:sz w:val="22"/>
              </w:rPr>
            </w:pPr>
          </w:p>
        </w:tc>
        <w:tc>
          <w:tcPr>
            <w:tcW w:w="1530" w:type="dxa"/>
            <w:vAlign w:val="center"/>
          </w:tcPr>
          <w:p>
            <w:pPr>
              <w:pStyle w:val="16"/>
              <w:snapToGrid w:val="0"/>
              <w:ind w:firstLine="440" w:firstLineChars="200"/>
              <w:jc w:val="left"/>
              <w:rPr>
                <w:rFonts w:ascii="宋体" w:hAnsi="宋体"/>
                <w:sz w:val="22"/>
              </w:rPr>
            </w:pPr>
          </w:p>
        </w:tc>
        <w:tc>
          <w:tcPr>
            <w:tcW w:w="1015" w:type="dxa"/>
            <w:vAlign w:val="center"/>
          </w:tcPr>
          <w:p>
            <w:pPr>
              <w:pStyle w:val="16"/>
              <w:snapToGrid w:val="0"/>
              <w:ind w:firstLine="440" w:firstLineChars="200"/>
              <w:jc w:val="left"/>
              <w:rPr>
                <w:rFonts w:ascii="宋体" w:hAnsi="宋体"/>
                <w:sz w:val="22"/>
              </w:rPr>
            </w:pPr>
          </w:p>
        </w:tc>
        <w:tc>
          <w:tcPr>
            <w:tcW w:w="1979" w:type="dxa"/>
            <w:vAlign w:val="center"/>
          </w:tcPr>
          <w:p>
            <w:pPr>
              <w:pStyle w:val="16"/>
              <w:snapToGrid w:val="0"/>
              <w:ind w:firstLine="440" w:firstLineChars="200"/>
              <w:jc w:val="left"/>
              <w:rPr>
                <w:rFonts w:ascii="宋体" w:hAnsi="宋体"/>
                <w:sz w:val="22"/>
              </w:rPr>
            </w:pPr>
          </w:p>
        </w:tc>
        <w:tc>
          <w:tcPr>
            <w:tcW w:w="714" w:type="dxa"/>
            <w:vAlign w:val="center"/>
          </w:tcPr>
          <w:p>
            <w:pPr>
              <w:pStyle w:val="16"/>
              <w:snapToGrid w:val="0"/>
              <w:ind w:firstLine="440" w:firstLineChars="200"/>
              <w:jc w:val="left"/>
              <w:rPr>
                <w:rFonts w:ascii="宋体" w:hAnsi="宋体"/>
                <w:sz w:val="22"/>
              </w:rPr>
            </w:pPr>
          </w:p>
        </w:tc>
        <w:tc>
          <w:tcPr>
            <w:tcW w:w="1137" w:type="dxa"/>
            <w:vAlign w:val="center"/>
          </w:tcPr>
          <w:p>
            <w:pPr>
              <w:pStyle w:val="16"/>
              <w:snapToGrid w:val="0"/>
              <w:ind w:firstLine="440" w:firstLineChars="200"/>
              <w:jc w:val="left"/>
              <w:rPr>
                <w:rFonts w:ascii="宋体" w:hAnsi="宋体"/>
                <w:sz w:val="22"/>
              </w:rPr>
            </w:pPr>
          </w:p>
        </w:tc>
        <w:tc>
          <w:tcPr>
            <w:tcW w:w="1122" w:type="dxa"/>
            <w:vAlign w:val="center"/>
          </w:tcPr>
          <w:p>
            <w:pPr>
              <w:pStyle w:val="1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6"/>
              <w:snapToGrid w:val="0"/>
              <w:jc w:val="left"/>
              <w:rPr>
                <w:rFonts w:ascii="宋体" w:hAnsi="宋体"/>
                <w:sz w:val="22"/>
              </w:rPr>
            </w:pPr>
            <w:r>
              <w:rPr>
                <w:rFonts w:hint="eastAsia" w:ascii="宋体" w:hAnsi="宋体"/>
                <w:sz w:val="22"/>
              </w:rPr>
              <w:t>合计</w:t>
            </w:r>
          </w:p>
        </w:tc>
        <w:tc>
          <w:tcPr>
            <w:tcW w:w="1530" w:type="dxa"/>
            <w:vAlign w:val="center"/>
          </w:tcPr>
          <w:p>
            <w:pPr>
              <w:pStyle w:val="16"/>
              <w:snapToGrid w:val="0"/>
              <w:ind w:firstLine="440" w:firstLineChars="200"/>
              <w:jc w:val="left"/>
              <w:rPr>
                <w:rFonts w:ascii="宋体" w:hAnsi="宋体"/>
                <w:sz w:val="22"/>
              </w:rPr>
            </w:pPr>
          </w:p>
        </w:tc>
        <w:tc>
          <w:tcPr>
            <w:tcW w:w="1015" w:type="dxa"/>
            <w:vAlign w:val="center"/>
          </w:tcPr>
          <w:p>
            <w:pPr>
              <w:pStyle w:val="16"/>
              <w:snapToGrid w:val="0"/>
              <w:ind w:firstLine="440" w:firstLineChars="200"/>
              <w:jc w:val="left"/>
              <w:rPr>
                <w:rFonts w:ascii="宋体" w:hAnsi="宋体"/>
                <w:sz w:val="22"/>
              </w:rPr>
            </w:pPr>
          </w:p>
        </w:tc>
        <w:tc>
          <w:tcPr>
            <w:tcW w:w="1979" w:type="dxa"/>
            <w:vAlign w:val="center"/>
          </w:tcPr>
          <w:p>
            <w:pPr>
              <w:pStyle w:val="16"/>
              <w:snapToGrid w:val="0"/>
              <w:ind w:firstLine="440" w:firstLineChars="200"/>
              <w:jc w:val="left"/>
              <w:rPr>
                <w:rFonts w:ascii="宋体" w:hAnsi="宋体"/>
                <w:sz w:val="22"/>
              </w:rPr>
            </w:pPr>
          </w:p>
        </w:tc>
        <w:tc>
          <w:tcPr>
            <w:tcW w:w="714" w:type="dxa"/>
            <w:vAlign w:val="center"/>
          </w:tcPr>
          <w:p>
            <w:pPr>
              <w:pStyle w:val="16"/>
              <w:snapToGrid w:val="0"/>
              <w:ind w:firstLine="440" w:firstLineChars="200"/>
              <w:jc w:val="left"/>
              <w:rPr>
                <w:rFonts w:ascii="宋体" w:hAnsi="宋体"/>
                <w:sz w:val="22"/>
              </w:rPr>
            </w:pPr>
          </w:p>
        </w:tc>
        <w:tc>
          <w:tcPr>
            <w:tcW w:w="1137" w:type="dxa"/>
            <w:vAlign w:val="center"/>
          </w:tcPr>
          <w:p>
            <w:pPr>
              <w:pStyle w:val="16"/>
              <w:snapToGrid w:val="0"/>
              <w:ind w:firstLine="440" w:firstLineChars="200"/>
              <w:jc w:val="left"/>
              <w:rPr>
                <w:rFonts w:ascii="宋体" w:hAnsi="宋体"/>
                <w:sz w:val="22"/>
              </w:rPr>
            </w:pPr>
          </w:p>
        </w:tc>
        <w:tc>
          <w:tcPr>
            <w:tcW w:w="1122" w:type="dxa"/>
            <w:vAlign w:val="center"/>
          </w:tcPr>
          <w:p>
            <w:pPr>
              <w:pStyle w:val="16"/>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hint="eastAsia" w:ascii="宋体" w:hAnsi="宋体"/>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snapToGrid w:val="0"/>
        <w:spacing w:line="360" w:lineRule="exact"/>
        <w:ind w:firstLine="440" w:firstLineChars="200"/>
        <w:rPr>
          <w:rFonts w:hint="eastAsia"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2" w:name="_Toc422638512"/>
      <w:r>
        <w:rPr>
          <w:rFonts w:hint="eastAsia" w:ascii="宋体" w:hAnsi="宋体"/>
          <w:b/>
          <w:sz w:val="22"/>
        </w:rPr>
        <w:t>六、转包或分包</w:t>
      </w:r>
      <w:bookmarkEnd w:id="7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3" w:name="_Toc422638513"/>
      <w:r>
        <w:rPr>
          <w:rFonts w:hint="eastAsia" w:ascii="宋体" w:hAnsi="宋体"/>
          <w:b/>
          <w:sz w:val="22"/>
        </w:rPr>
        <w:t>七、货物包装、发运及运输</w:t>
      </w:r>
      <w:bookmarkEnd w:id="7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4"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5" w:name="_Toc422638515"/>
      <w:r>
        <w:rPr>
          <w:rFonts w:hint="eastAsia" w:ascii="宋体" w:hAnsi="宋体"/>
          <w:b/>
          <w:sz w:val="22"/>
        </w:rPr>
        <w:t>九、安装、调试及验收</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6" w:name="_Toc422638516"/>
      <w:r>
        <w:rPr>
          <w:rFonts w:hint="eastAsia" w:ascii="宋体" w:hAnsi="宋体"/>
          <w:b/>
          <w:sz w:val="22"/>
        </w:rPr>
        <w:t>十、货款支付</w:t>
      </w:r>
      <w:bookmarkEnd w:id="76"/>
    </w:p>
    <w:p>
      <w:pPr>
        <w:pStyle w:val="8"/>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w:t>
      </w:r>
      <w:r>
        <w:rPr>
          <w:rFonts w:hint="eastAsia" w:ascii="宋体" w:hAnsi="宋体" w:eastAsia="宋体"/>
          <w:color w:val="auto"/>
          <w:sz w:val="22"/>
          <w:szCs w:val="22"/>
          <w:lang w:val="en-US" w:eastAsia="zh-CN"/>
        </w:rPr>
        <w:t xml:space="preserve"> </w:t>
      </w:r>
      <w:r>
        <w:rPr>
          <w:rFonts w:hint="eastAsia" w:ascii="宋体" w:hAnsi="宋体" w:eastAsia="宋体"/>
          <w:color w:val="auto"/>
          <w:sz w:val="22"/>
          <w:szCs w:val="22"/>
        </w:rPr>
        <w:t>设备安装调试完成，并经甲方验收合格后【15】个工作日内，支付至合同总金额的95%。</w:t>
      </w:r>
    </w:p>
    <w:p>
      <w:pPr>
        <w:pStyle w:val="8"/>
        <w:snapToGrid w:val="0"/>
        <w:spacing w:before="0" w:beforeAutospacing="0" w:after="0" w:afterAutospacing="0" w:line="3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adjustRightInd w:val="0"/>
        <w:snapToGrid w:val="0"/>
        <w:spacing w:line="360" w:lineRule="exact"/>
        <w:ind w:firstLine="442" w:firstLineChars="200"/>
        <w:outlineLvl w:val="0"/>
        <w:rPr>
          <w:rFonts w:ascii="宋体" w:hAnsi="宋体"/>
          <w:b/>
          <w:sz w:val="22"/>
        </w:rPr>
      </w:pPr>
      <w:bookmarkStart w:id="77" w:name="_Toc422638517"/>
      <w:r>
        <w:rPr>
          <w:rFonts w:hint="eastAsia" w:ascii="宋体" w:hAnsi="宋体"/>
          <w:b/>
          <w:sz w:val="22"/>
        </w:rPr>
        <w:t>十一、税费</w:t>
      </w:r>
      <w:bookmarkEnd w:id="77"/>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78" w:name="_Toc422638518"/>
      <w:r>
        <w:rPr>
          <w:rFonts w:hint="eastAsia" w:ascii="宋体" w:hAnsi="宋体"/>
          <w:b/>
          <w:sz w:val="22"/>
        </w:rPr>
        <w:t>十二、质量保证及售后服务</w:t>
      </w:r>
      <w:bookmarkEnd w:id="78"/>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79" w:name="_Toc422638519"/>
      <w:r>
        <w:rPr>
          <w:rFonts w:hint="eastAsia" w:ascii="宋体" w:hAnsi="宋体"/>
          <w:b/>
          <w:sz w:val="22"/>
        </w:rPr>
        <w:t>十三、违约责任</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0" w:name="_Toc422638520"/>
      <w:r>
        <w:rPr>
          <w:rFonts w:hint="eastAsia" w:ascii="宋体" w:hAnsi="宋体"/>
          <w:b/>
          <w:sz w:val="22"/>
        </w:rPr>
        <w:t>十四、不可抗力事件处理</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1" w:name="_Toc422638521"/>
      <w:r>
        <w:rPr>
          <w:rFonts w:hint="eastAsia" w:ascii="宋体" w:hAnsi="宋体"/>
          <w:b/>
          <w:sz w:val="22"/>
        </w:rPr>
        <w:t>十七、合同生效及其它</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widowControl/>
        <w:jc w:val="left"/>
        <w:rPr>
          <w:rFonts w:ascii="Cambria" w:hAnsi="Cambria" w:eastAsia="黑体" w:cs="Times New Roman"/>
          <w:b/>
          <w:bCs/>
          <w:kern w:val="0"/>
          <w:sz w:val="32"/>
          <w:szCs w:val="32"/>
        </w:rPr>
      </w:pPr>
    </w:p>
    <w:p>
      <w:pPr>
        <w:pStyle w:val="10"/>
        <w:rPr>
          <w:rFonts w:hint="eastAsia"/>
        </w:rPr>
      </w:pPr>
      <w:bookmarkStart w:id="82" w:name="_Toc321925454"/>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bookmarkEnd w:id="82"/>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ascii="宋体-PUA" w:hAnsi="宋体-PUA" w:eastAsia="宋体-PUA" w:cs="宋体-PUA"/>
          <w:sz w:val="22"/>
          <w:szCs w:val="22"/>
        </w:rPr>
        <w:br w:type="page"/>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附件1：</w:t>
      </w:r>
    </w:p>
    <w:p>
      <w:pPr>
        <w:spacing w:line="560" w:lineRule="exact"/>
        <w:rPr>
          <w:rFonts w:ascii="宋体-PUA" w:hAnsi="宋体-PUA" w:eastAsia="宋体-PUA" w:cs="宋体-PUA"/>
          <w:sz w:val="22"/>
          <w:szCs w:val="22"/>
        </w:rPr>
      </w:pPr>
    </w:p>
    <w:p>
      <w:pPr>
        <w:pStyle w:val="17"/>
        <w:spacing w:line="360" w:lineRule="exact"/>
        <w:ind w:firstLine="442"/>
        <w:jc w:val="center"/>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18"/>
        <w:adjustRightInd w:val="0"/>
        <w:snapToGrid w:val="0"/>
        <w:ind w:firstLine="442"/>
        <w:rPr>
          <w:rFonts w:ascii="宋体-PUA" w:hAnsi="宋体-PUA" w:eastAsia="宋体-PUA" w:cs="宋体-PUA"/>
          <w:b/>
          <w:sz w:val="22"/>
          <w:szCs w:val="22"/>
        </w:rPr>
      </w:pPr>
    </w:p>
    <w:p>
      <w:pPr>
        <w:pStyle w:val="18"/>
        <w:adjustRightInd w:val="0"/>
        <w:snapToGrid w:val="0"/>
        <w:ind w:firstLine="0" w:firstLineChars="0"/>
        <w:rPr>
          <w:rFonts w:ascii="宋体-PUA" w:hAnsi="宋体-PUA" w:eastAsia="宋体-PUA" w:cs="宋体-PUA"/>
          <w:b/>
          <w:sz w:val="22"/>
          <w:szCs w:val="22"/>
        </w:rPr>
      </w:pPr>
      <w:r>
        <w:rPr>
          <w:rFonts w:hint="eastAsia" w:ascii="宋体-PUA" w:hAnsi="宋体-PUA" w:eastAsia="宋体-PUA" w:cs="宋体-PUA"/>
          <w:b/>
          <w:sz w:val="22"/>
          <w:szCs w:val="22"/>
        </w:rPr>
        <w:t>杭州萧山国际机场有限公司：</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我单位响应贵公司项目招标要求，参加项目投标。在投标过程中及中标后，我们将严格遵守国家法律法规和贵司招标文件要求，并郑重作出如下承诺和保证：</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二、不以任何名义为贵公司有关人员或项目第三方人员报销应由贵公司或个人支付的费用；</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三、不向贵公司有关人员或项目第三方人员提供宴请、旅游、和健身娱乐等活动；</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四、不为贵公司有关人员或项目第三方人员出国（境）、旅游等提供方便；</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五、不为贵公司有关人员或项目第三方人员个人装修住房、婚丧嫁娶、配偶子女工作安排等提供好处或便利条件；</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六、严格遵守国家招标投标法、合同法等法律规定，诚实守信，合法经营，坚决杜绝各种违法违纪行为。</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八、如违反上述廉洁自律承诺，贵公司有权：</w:t>
      </w:r>
    </w:p>
    <w:p>
      <w:pPr>
        <w:pStyle w:val="18"/>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立即取消我单位投标、中标或在建项目的实施资格；</w:t>
      </w:r>
    </w:p>
    <w:p>
      <w:pPr>
        <w:pStyle w:val="18"/>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拒绝我单位在一定时期内进入贵公司进行项目建设或其它经营活动；</w:t>
      </w:r>
    </w:p>
    <w:p>
      <w:pPr>
        <w:pStyle w:val="18"/>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由此引起的相应损失均由我单位承担。</w:t>
      </w:r>
    </w:p>
    <w:p>
      <w:pPr>
        <w:pStyle w:val="18"/>
        <w:adjustRightInd w:val="0"/>
        <w:snapToGrid w:val="0"/>
        <w:ind w:firstLine="440"/>
        <w:rPr>
          <w:rFonts w:ascii="宋体-PUA" w:hAnsi="宋体-PUA" w:eastAsia="宋体-PUA" w:cs="宋体-PUA"/>
          <w:sz w:val="22"/>
          <w:szCs w:val="22"/>
        </w:rPr>
      </w:pP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承诺人单位名称（盖章）：            </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法定代表人 ：                    </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或                            </w:t>
      </w:r>
    </w:p>
    <w:p>
      <w:pPr>
        <w:pStyle w:val="18"/>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委托代理人：                   </w:t>
      </w:r>
    </w:p>
    <w:p>
      <w:pPr>
        <w:pStyle w:val="18"/>
        <w:adjustRightInd w:val="0"/>
        <w:snapToGrid w:val="0"/>
        <w:ind w:firstLine="442"/>
        <w:rPr>
          <w:rFonts w:ascii="宋体-PUA" w:hAnsi="宋体-PUA" w:eastAsia="宋体-PUA" w:cs="宋体-PUA"/>
          <w:b/>
          <w:sz w:val="22"/>
          <w:szCs w:val="22"/>
        </w:rPr>
      </w:pPr>
    </w:p>
    <w:p>
      <w:pPr>
        <w:pStyle w:val="10"/>
        <w:rPr>
          <w:rFonts w:ascii="宋体-PUA" w:hAnsi="宋体-PUA" w:eastAsia="宋体-PUA" w:cs="宋体-PUA"/>
          <w:b w:val="0"/>
          <w:sz w:val="22"/>
          <w:szCs w:val="22"/>
        </w:rPr>
      </w:pPr>
      <w:r>
        <w:rPr>
          <w:rFonts w:hint="eastAsia" w:ascii="宋体-PUA" w:hAnsi="宋体-PUA" w:eastAsia="宋体-PUA" w:cs="宋体-PUA"/>
          <w:b w:val="0"/>
          <w:sz w:val="22"/>
          <w:szCs w:val="22"/>
        </w:rPr>
        <w:t xml:space="preserve">                           年     月     日</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ascii="宋体-PUA" w:hAnsi="宋体-PUA" w:eastAsia="宋体-PUA" w:cs="宋体-PUA"/>
          <w:sz w:val="22"/>
          <w:szCs w:val="22"/>
        </w:rPr>
        <w:br w:type="page"/>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附件2：保密承诺书</w:t>
      </w:r>
    </w:p>
    <w:p>
      <w:pPr>
        <w:spacing w:line="560" w:lineRule="exact"/>
        <w:jc w:val="center"/>
        <w:rPr>
          <w:rFonts w:ascii="宋体-PUA" w:hAnsi="宋体-PUA" w:eastAsia="宋体-PUA" w:cs="宋体-PUA"/>
          <w:b/>
          <w:bCs/>
          <w:sz w:val="22"/>
          <w:szCs w:val="22"/>
        </w:rPr>
      </w:pPr>
      <w:r>
        <w:rPr>
          <w:rFonts w:hint="eastAsia" w:ascii="宋体-PUA" w:hAnsi="宋体-PUA" w:eastAsia="宋体-PUA" w:cs="宋体-PUA"/>
          <w:b/>
          <w:bCs/>
          <w:sz w:val="22"/>
          <w:szCs w:val="22"/>
        </w:rPr>
        <w:t>保密承诺书</w:t>
      </w:r>
    </w:p>
    <w:p>
      <w:pPr>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（2）管理信息（管理方法、管理制度、员工管理、合同管理、纠纷管理等）；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（4）财务信息（财务收支、固定资产、流动资金、成本核算等）；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1.4、以下资料不属于本承诺所指的商业秘密：</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（2）已经公开或已成为常识性的资料，且该等公开并非因违反本承诺所致。</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szCs w:val="22"/>
        </w:rPr>
      </w:pP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（1）披露、使用或者允许他人以不正当手段获取的商业秘密；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（2）为机场公司以外的第三人窃取、刺探、收买、非法提供商业秘密。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8、违约责任</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供应商(盖章):</w:t>
      </w:r>
    </w:p>
    <w:p>
      <w:pPr>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法定代表人或授权代表：</w:t>
      </w: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电话/传真：</w:t>
      </w: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地址：</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napToGrid w:val="0"/>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日期：     年   月   日</w:t>
      </w:r>
    </w:p>
    <w:p>
      <w:pPr>
        <w:pStyle w:val="4"/>
        <w:spacing w:line="560" w:lineRule="exact"/>
        <w:ind w:right="960" w:firstLine="440" w:firstLineChars="200"/>
        <w:rPr>
          <w:rFonts w:ascii="宋体-PUA" w:hAnsi="宋体-PUA" w:eastAsia="宋体-PUA" w:cs="宋体-PUA"/>
          <w:sz w:val="22"/>
          <w:szCs w:val="22"/>
        </w:rPr>
      </w:pPr>
    </w:p>
    <w:p>
      <w:pPr>
        <w:spacing w:line="560" w:lineRule="exact"/>
        <w:rPr>
          <w:rFonts w:ascii="黑体" w:hAnsi="黑体" w:eastAsia="黑体"/>
          <w:sz w:val="28"/>
          <w:szCs w:val="28"/>
        </w:rPr>
      </w:pPr>
    </w:p>
    <w:p>
      <w:pPr>
        <w:snapToGrid w:val="0"/>
        <w:spacing w:line="360" w:lineRule="exact"/>
        <w:ind w:firstLine="440" w:firstLineChars="200"/>
        <w:jc w:val="left"/>
        <w:rPr>
          <w:rFonts w:ascii="宋体" w:hAnsi="宋体"/>
          <w:sz w:val="22"/>
        </w:rPr>
      </w:pPr>
    </w:p>
    <w:p/>
    <w:p>
      <w:pPr>
        <w:pStyle w:val="10"/>
        <w:rPr>
          <w:rFonts w:ascii="宋体" w:hAnsi="宋体" w:eastAsia="宋体"/>
          <w:b w:val="0"/>
          <w:sz w:val="22"/>
          <w:szCs w:val="22"/>
        </w:rPr>
      </w:pPr>
      <w:r>
        <w:rPr>
          <w:rFonts w:ascii="宋体" w:hAnsi="宋体"/>
          <w:sz w:val="22"/>
          <w:szCs w:val="22"/>
        </w:rPr>
        <w:br w:type="page"/>
      </w:r>
    </w:p>
    <w:p>
      <w:pPr>
        <w:pStyle w:val="2"/>
        <w:spacing w:before="0" w:after="0"/>
        <w:ind w:firstLine="3012" w:firstLineChars="1000"/>
        <w:jc w:val="both"/>
        <w:rPr>
          <w:rFonts w:ascii="Calibri" w:hAnsi="Calibri" w:eastAsia="黑体" w:cs="Calibri"/>
          <w:kern w:val="0"/>
          <w:sz w:val="32"/>
        </w:rPr>
      </w:pPr>
      <w:bookmarkStart w:id="83" w:name="_Toc275274581"/>
      <w:r>
        <w:rPr>
          <w:rFonts w:hint="eastAsia"/>
          <w:lang w:val="en-US" w:eastAsia="zh-CN"/>
        </w:rPr>
        <w:t xml:space="preserve"> </w:t>
      </w: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4"/>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3"/>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3"/>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是否具有</w:t>
            </w:r>
            <w:r>
              <w:rPr>
                <w:rFonts w:hint="eastAsia" w:ascii="宋体"/>
                <w:sz w:val="22"/>
                <w:szCs w:val="22"/>
                <w:lang w:val="en-US" w:eastAsia="zh-CN"/>
              </w:rPr>
              <w:t>同类</w:t>
            </w:r>
            <w:r>
              <w:rPr>
                <w:rFonts w:hint="eastAsia" w:ascii="宋体"/>
                <w:sz w:val="22"/>
                <w:szCs w:val="22"/>
              </w:rPr>
              <w:t>施工经验（以合同为准）</w:t>
            </w:r>
          </w:p>
        </w:tc>
        <w:tc>
          <w:tcPr>
            <w:tcW w:w="4405" w:type="dxa"/>
            <w:vAlign w:val="center"/>
          </w:tcPr>
          <w:p>
            <w:pPr>
              <w:pStyle w:val="3"/>
              <w:snapToGrid w:val="0"/>
              <w:spacing w:after="0"/>
              <w:jc w:val="left"/>
              <w:rPr>
                <w:rFonts w:ascii="宋体"/>
                <w:sz w:val="22"/>
                <w:szCs w:val="22"/>
              </w:rPr>
            </w:pPr>
            <w:r>
              <w:rPr>
                <w:rFonts w:hint="eastAsia" w:ascii="宋体"/>
                <w:sz w:val="22"/>
                <w:szCs w:val="22"/>
              </w:rPr>
              <w:t>根据是否有</w:t>
            </w:r>
            <w:r>
              <w:rPr>
                <w:rFonts w:hint="eastAsia" w:ascii="宋体"/>
                <w:sz w:val="22"/>
                <w:szCs w:val="22"/>
                <w:lang w:val="en-US" w:eastAsia="zh-CN"/>
              </w:rPr>
              <w:t>同类</w:t>
            </w:r>
            <w:r>
              <w:rPr>
                <w:rFonts w:hint="eastAsia" w:ascii="宋体"/>
                <w:sz w:val="22"/>
                <w:szCs w:val="22"/>
              </w:rPr>
              <w:t>施工经验的的酌情打分（以提供合同等依据分准</w:t>
            </w:r>
            <w:r>
              <w:rPr>
                <w:rFonts w:hint="eastAsia" w:ascii="宋体"/>
                <w:sz w:val="22"/>
                <w:szCs w:val="22"/>
                <w:lang w:val="en-US" w:eastAsia="zh-CN"/>
              </w:rPr>
              <w:t>:有一个业绩得1分、有2个业绩的得2分、有3个业绩的得3分、4个及以上的得5分</w:t>
            </w:r>
            <w:r>
              <w:rPr>
                <w:rFonts w:hint="eastAsia" w:ascii="宋体"/>
                <w:sz w:val="22"/>
                <w:szCs w:val="22"/>
              </w:rPr>
              <w:t>）</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3"/>
              <w:snapToGrid w:val="0"/>
              <w:spacing w:after="0"/>
              <w:jc w:val="left"/>
              <w:rPr>
                <w:rFonts w:ascii="宋体"/>
                <w:sz w:val="22"/>
                <w:szCs w:val="22"/>
              </w:rPr>
            </w:pPr>
            <w:r>
              <w:rPr>
                <w:rFonts w:hint="eastAsia" w:ascii="宋体"/>
                <w:sz w:val="22"/>
                <w:szCs w:val="22"/>
              </w:rPr>
              <w:t>参考所提供</w:t>
            </w:r>
            <w:r>
              <w:rPr>
                <w:rFonts w:hint="eastAsia" w:ascii="宋体"/>
                <w:sz w:val="22"/>
                <w:szCs w:val="22"/>
                <w:lang w:val="en-US" w:eastAsia="zh-CN"/>
              </w:rPr>
              <w:t>石材</w:t>
            </w:r>
            <w:r>
              <w:rPr>
                <w:rFonts w:hint="eastAsia" w:ascii="宋体"/>
                <w:sz w:val="22"/>
                <w:szCs w:val="22"/>
              </w:rPr>
              <w:t>的品牌、</w:t>
            </w:r>
            <w:r>
              <w:rPr>
                <w:rFonts w:hint="eastAsia" w:ascii="宋体"/>
                <w:sz w:val="22"/>
                <w:szCs w:val="22"/>
                <w:lang w:val="en-US" w:eastAsia="zh-CN"/>
              </w:rPr>
              <w:t>材质</w:t>
            </w:r>
            <w:r>
              <w:rPr>
                <w:rFonts w:hint="eastAsia" w:ascii="宋体"/>
                <w:sz w:val="22"/>
                <w:szCs w:val="22"/>
              </w:rPr>
              <w:t>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hAnsi="宋体" w:cs="宋体"/>
                <w:sz w:val="22"/>
                <w:szCs w:val="22"/>
              </w:rPr>
              <w:t>产品</w:t>
            </w:r>
            <w:r>
              <w:rPr>
                <w:rFonts w:hint="eastAsia" w:ascii="宋体" w:hAnsi="宋体" w:cs="宋体"/>
                <w:sz w:val="22"/>
                <w:szCs w:val="22"/>
                <w:lang w:val="en-US" w:eastAsia="zh-CN"/>
              </w:rPr>
              <w:t>质保期内</w:t>
            </w:r>
            <w:r>
              <w:rPr>
                <w:rFonts w:hint="eastAsia" w:ascii="宋体" w:hAnsi="宋体" w:cs="宋体"/>
                <w:sz w:val="22"/>
                <w:szCs w:val="22"/>
              </w:rPr>
              <w:t>的技术服务和售后服务的内容，措施和承诺</w:t>
            </w:r>
          </w:p>
        </w:tc>
        <w:tc>
          <w:tcPr>
            <w:tcW w:w="4405" w:type="dxa"/>
            <w:vAlign w:val="center"/>
          </w:tcPr>
          <w:p>
            <w:pPr>
              <w:pStyle w:val="3"/>
              <w:snapToGrid w:val="0"/>
              <w:spacing w:after="0"/>
              <w:jc w:val="left"/>
              <w:rPr>
                <w:rFonts w:ascii="宋体" w:hAnsi="宋体" w:cs="宋体"/>
                <w:sz w:val="22"/>
                <w:szCs w:val="22"/>
              </w:rPr>
            </w:pPr>
            <w:r>
              <w:rPr>
                <w:rFonts w:hint="eastAsia" w:ascii="宋体" w:hAnsi="宋体" w:cs="宋体"/>
                <w:sz w:val="22"/>
                <w:szCs w:val="22"/>
              </w:rPr>
              <w:t>主要根据修理</w:t>
            </w:r>
            <w:r>
              <w:rPr>
                <w:rFonts w:hint="eastAsia" w:ascii="宋体" w:hAnsi="宋体" w:cs="宋体"/>
                <w:sz w:val="22"/>
                <w:szCs w:val="22"/>
                <w:lang w:eastAsia="zh-CN"/>
              </w:rPr>
              <w:t>、</w:t>
            </w:r>
            <w:r>
              <w:rPr>
                <w:rFonts w:hint="eastAsia" w:ascii="宋体" w:hAnsi="宋体" w:cs="宋体"/>
                <w:sz w:val="22"/>
                <w:szCs w:val="22"/>
                <w:lang w:val="en-US" w:eastAsia="zh-CN"/>
              </w:rPr>
              <w:t>更换</w:t>
            </w:r>
            <w:r>
              <w:rPr>
                <w:rFonts w:hint="eastAsia" w:ascii="宋体" w:hAnsi="宋体" w:cs="宋体"/>
                <w:sz w:val="22"/>
                <w:szCs w:val="22"/>
              </w:rPr>
              <w:t>后所提供的质保承诺、免保时间、免保期内针对所更换</w:t>
            </w:r>
            <w:r>
              <w:rPr>
                <w:rFonts w:hint="eastAsia" w:ascii="宋体" w:hAnsi="宋体" w:cs="宋体"/>
                <w:sz w:val="22"/>
                <w:szCs w:val="22"/>
                <w:lang w:val="en-US" w:eastAsia="zh-CN"/>
              </w:rPr>
              <w:t>石材料</w:t>
            </w:r>
            <w:r>
              <w:rPr>
                <w:rFonts w:hint="eastAsia" w:ascii="宋体" w:hAnsi="宋体" w:cs="宋体"/>
                <w:sz w:val="22"/>
                <w:szCs w:val="22"/>
              </w:rPr>
              <w:t>的检查、及相关发生应急问题后的应急措施进行酌情打分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4"/>
        <w:adjustRightInd w:val="0"/>
        <w:snapToGrid w:val="0"/>
        <w:spacing w:line="360" w:lineRule="exact"/>
        <w:rPr>
          <w:rFonts w:hAnsi="宋体" w:cs="Calibri"/>
          <w:sz w:val="22"/>
          <w:szCs w:val="22"/>
        </w:rPr>
      </w:pPr>
    </w:p>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widowControl/>
        <w:jc w:val="left"/>
        <w:rPr>
          <w:rFonts w:ascii="Cambria" w:hAnsi="Cambria" w:eastAsia="黑体" w:cs="Times New Roman"/>
          <w:b/>
          <w:bCs/>
          <w:kern w:val="0"/>
          <w:sz w:val="32"/>
          <w:szCs w:val="32"/>
        </w:rPr>
      </w:pPr>
      <w:r>
        <w:rPr>
          <w:rFonts w:hint="eastAsia"/>
          <w:lang w:val="en-US" w:eastAsia="zh-CN"/>
        </w:rPr>
        <w:t xml:space="preserve"> </w:t>
      </w:r>
      <w:bookmarkStart w:id="84" w:name="_Toc321925456"/>
      <w:bookmarkStart w:id="85" w:name="_Toc448002987"/>
    </w:p>
    <w:bookmarkEnd w:id="84"/>
    <w:bookmarkEnd w:id="85"/>
    <w:p>
      <w:pPr>
        <w:pStyle w:val="10"/>
      </w:pPr>
      <w:bookmarkStart w:id="86" w:name="_Toc321925457"/>
      <w:r>
        <w:t>第</w:t>
      </w:r>
      <w:r>
        <w:rPr>
          <w:rFonts w:hint="eastAsia"/>
        </w:rPr>
        <w:t>六</w:t>
      </w:r>
      <w:r>
        <w:t>章  投标文件格式</w:t>
      </w:r>
      <w:bookmarkEnd w:id="83"/>
      <w:bookmarkEnd w:id="8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7" w:name="_Toc171421958"/>
      <w:r>
        <w:rPr>
          <w:rFonts w:cs="Calibri"/>
          <w:color w:val="000000"/>
        </w:rPr>
        <w:t>封面</w:t>
      </w:r>
      <w:bookmarkEnd w:id="8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3rB1wAAAAkB&#10;AAAPAAAAAAAAAAEAIAAAACIAAABkcnMvZG93bnJldi54bWxQSwECFAAUAAAACACHTuJA5nKNeR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88" w:name="_Toc137373398"/>
      <w:bookmarkStart w:id="89" w:name="_Toc144265958"/>
      <w:bookmarkStart w:id="90" w:name="_Toc133214102"/>
      <w:bookmarkStart w:id="91" w:name="_Toc133470542"/>
      <w:bookmarkStart w:id="92" w:name="_Toc133214309"/>
    </w:p>
    <w:p>
      <w:pPr>
        <w:pStyle w:val="4"/>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4"/>
        <w:spacing w:after="120" w:afterLines="50" w:line="360" w:lineRule="auto"/>
        <w:jc w:val="center"/>
        <w:rPr>
          <w:rFonts w:hAnsi="宋体" w:cs="宋体"/>
        </w:rPr>
      </w:pPr>
    </w:p>
    <w:p>
      <w:pPr>
        <w:pStyle w:val="4"/>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8"/>
    <w:bookmarkEnd w:id="89"/>
    <w:bookmarkEnd w:id="90"/>
    <w:bookmarkEnd w:id="91"/>
    <w:bookmarkEnd w:id="9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3" w:name="_Toc133214310"/>
      <w:bookmarkStart w:id="94" w:name="_Toc133214103"/>
      <w:bookmarkStart w:id="95" w:name="_Toc137373399"/>
      <w:bookmarkStart w:id="96" w:name="_Toc133470544"/>
    </w:p>
    <w:p>
      <w:pPr>
        <w:spacing w:line="360" w:lineRule="auto"/>
        <w:jc w:val="center"/>
        <w:rPr>
          <w:rFonts w:ascii="宋体" w:hAnsi="宋体" w:cs="宋体"/>
          <w:b/>
          <w:sz w:val="32"/>
          <w:szCs w:val="32"/>
        </w:rPr>
      </w:pPr>
      <w:bookmarkStart w:id="97" w:name="_Toc144265959"/>
      <w:r>
        <w:rPr>
          <w:rFonts w:hint="eastAsia" w:ascii="宋体" w:hAnsi="宋体" w:cs="宋体"/>
          <w:b/>
          <w:sz w:val="32"/>
          <w:szCs w:val="32"/>
        </w:rPr>
        <w:br w:type="page"/>
      </w:r>
    </w:p>
    <w:bookmarkEnd w:id="93"/>
    <w:bookmarkEnd w:id="94"/>
    <w:bookmarkEnd w:id="95"/>
    <w:bookmarkEnd w:id="96"/>
    <w:bookmarkEnd w:id="9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1"/>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1"/>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1"/>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7"/>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4"/>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11"/>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11"/>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6C3E0AB3"/>
    <w:multiLevelType w:val="singleLevel"/>
    <w:tmpl w:val="6C3E0AB3"/>
    <w:lvl w:ilvl="0" w:tentative="0">
      <w:start w:val="3"/>
      <w:numFmt w:val="chineseCounting"/>
      <w:suff w:val="space"/>
      <w:lvlText w:val="第%1章"/>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1024A"/>
    <w:rsid w:val="1EAD4072"/>
    <w:rsid w:val="29AC212E"/>
    <w:rsid w:val="4EE95670"/>
    <w:rsid w:val="710907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uiPriority w:val="0"/>
    <w:pPr>
      <w:spacing w:after="120" w:line="480" w:lineRule="auto"/>
      <w:ind w:left="420" w:leftChars="200"/>
    </w:pPr>
    <w:rPr>
      <w:rFonts w:ascii="Times New Roman" w:hAnsi="Times New Roman" w:eastAsia="宋体" w:cs="Times New Roman"/>
      <w:kern w:val="0"/>
      <w:sz w:val="20"/>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toc 1"/>
    <w:basedOn w:val="1"/>
    <w:next w:val="1"/>
    <w:uiPriority w:val="0"/>
    <w:pPr>
      <w:adjustRightInd w:val="0"/>
      <w:snapToGrid w:val="0"/>
    </w:pPr>
    <w:rPr>
      <w:rFonts w:ascii="Times New Roman" w:hAnsi="Times New Roman" w:eastAsia="仿宋" w:cs="Times New Roman"/>
      <w:sz w:val="21"/>
    </w:rPr>
  </w:style>
  <w:style w:type="paragraph" w:styleId="8">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9">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10">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3">
    <w:name w:val="page number"/>
    <w:basedOn w:val="12"/>
    <w:uiPriority w:val="0"/>
    <w:rPr>
      <w:rFonts w:asciiTheme="minorHAnsi" w:hAnsiTheme="minorHAnsi" w:eastAsiaTheme="minorEastAsia" w:cstheme="minorBidi"/>
      <w:lang w:val="en-US" w:eastAsia="zh-CN" w:bidi="ar-SA"/>
    </w:rPr>
  </w:style>
  <w:style w:type="character" w:styleId="14">
    <w:name w:val="annotation reference"/>
    <w:uiPriority w:val="0"/>
    <w:rPr>
      <w:rFonts w:asciiTheme="minorHAnsi" w:hAnsiTheme="minorHAnsi" w:eastAsiaTheme="minorEastAsia" w:cstheme="minorBidi"/>
      <w:sz w:val="21"/>
      <w:szCs w:val="21"/>
      <w:lang w:val="en-US" w:eastAsia="zh-CN" w:bidi="ar-SA"/>
    </w:rPr>
  </w:style>
  <w:style w:type="character" w:customStyle="1" w:styleId="15">
    <w:name w:val="zbggmain style9"/>
    <w:basedOn w:val="12"/>
    <w:qFormat/>
    <w:uiPriority w:val="0"/>
    <w:rPr>
      <w:rFonts w:asciiTheme="minorHAnsi" w:hAnsiTheme="minorHAnsi" w:eastAsiaTheme="minorEastAsia" w:cstheme="minorBidi"/>
      <w:lang w:val="en-US" w:eastAsia="zh-CN" w:bidi="ar-SA"/>
    </w:r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宋宇</cp:lastModifiedBy>
  <dcterms:modified xsi:type="dcterms:W3CDTF">2019-10-29T09:40:27Z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