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bookmarkStart w:id="0" w:name="OLE_LINK1"/>
      <w:r>
        <w:rPr>
          <w:rFonts w:hint="eastAsia" w:ascii="方正小标宋简体" w:eastAsia="方正小标宋简体"/>
          <w:sz w:val="36"/>
          <w:szCs w:val="36"/>
        </w:rPr>
        <w:t>杭州萧山国际机场车辆采购询价文件</w:t>
      </w:r>
    </w:p>
    <w:bookmarkEnd w:id="0"/>
    <w:p>
      <w:pPr>
        <w:ind w:firstLine="720"/>
        <w:jc w:val="center"/>
        <w:rPr>
          <w:rFonts w:hint="eastAsia" w:ascii="方正小标宋简体" w:eastAsia="方正小标宋简体"/>
          <w:sz w:val="36"/>
          <w:szCs w:val="36"/>
        </w:rPr>
      </w:pPr>
      <w:r>
        <w:rPr>
          <w:rFonts w:hint="eastAsia" w:ascii="方正小标宋简体" w:eastAsia="方正小标宋简体"/>
          <w:sz w:val="36"/>
          <w:szCs w:val="36"/>
        </w:rPr>
        <w:t xml:space="preserve"> </w:t>
      </w:r>
    </w:p>
    <w:p>
      <w:pPr>
        <w:spacing w:line="560" w:lineRule="exact"/>
        <w:ind w:firstLine="640" w:firstLineChars="200"/>
        <w:rPr>
          <w:rFonts w:hint="eastAsia" w:ascii="仿宋_GB2312" w:eastAsia="仿宋_GB2312"/>
          <w:sz w:val="32"/>
          <w:szCs w:val="32"/>
        </w:rPr>
      </w:pPr>
      <w:bookmarkStart w:id="2" w:name="_GoBack"/>
      <w:bookmarkStart w:id="1" w:name="OLE_LINK2"/>
      <w:r>
        <w:rPr>
          <w:rFonts w:hint="eastAsia" w:eastAsia="仿宋_GB2312"/>
          <w:sz w:val="32"/>
          <w:szCs w:val="32"/>
        </w:rPr>
        <w:t>杭州萧山国际机场有限公司</w:t>
      </w:r>
      <w:r>
        <w:rPr>
          <w:rFonts w:hint="eastAsia" w:ascii="仿宋_GB2312" w:eastAsia="仿宋_GB2312"/>
          <w:sz w:val="32"/>
          <w:szCs w:val="32"/>
        </w:rPr>
        <w:t>对生产用车进行采购（设备名称及数量见附表）。本次采取询价的方式进行实施，欢迎符合要求的单位前来报价。</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 xml:space="preserve">一、 资格要求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1、具有独立法人资格,持有有效营业执照。</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能独立承担民事责任和履行合同能力，具有良好的商业信誉和健全的财务会计管理制度，有依法缴纳税收和社会保障资金的良好记录，在前三年内的经营活动中没有重大违法记录和不良记录。（需提供承诺函，格式自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3、具有一般纳税人证书，可提供增值税专用发票。（需提供增值税一般纳税人资格登记表复印件并加盖公章，原件备查）</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二、供应商提供材料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1、企业营业执照（副本复印件加盖公章）、税务登记证（副本复印件加盖公章）、组织机构代码证（复印件加盖公章）；或五证合一的企业营业执照。</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2、报价单。</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三、比价方式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参加报价的单位需按要求进行报价，报价单需写清楚设备的具体型号、配置、价格，盖上公章密封后寄往我公司。我公司最终将按设备报价单的总价进行排名比价。 </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四、投递方式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1、以快递或当面递交方式, 报价文件需盖公章并密封后进行投递。</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2、投递地址: 杭州萧山国际机场综合服务楼园区招标中心，邮编：311207</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3、截止日期：2019年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日9：00截止</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4、逾期送达或者未送达指定地点的报价文件，询价单位不予受理</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五、联系方式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联系人：贾工       联系电话：0571-86662723</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监督人：王工       联系电话：0571-8666</w:t>
      </w:r>
      <w:r>
        <w:rPr>
          <w:rFonts w:ascii="仿宋_GB2312" w:eastAsia="仿宋_GB2312"/>
          <w:sz w:val="32"/>
          <w:szCs w:val="32"/>
        </w:rPr>
        <w:t>2132</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六、交付需求</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合同签订后60日历天内。</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七、付款方式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车辆在规定时间内到车后，经甲方验收合格后【10】个工作日内，支付全部货款，乙方提供正规的符合甲方要求的发票，甲方提车。</w:t>
      </w:r>
      <w:bookmarkEnd w:id="1"/>
    </w:p>
    <w:bookmarkEnd w:id="2"/>
    <w:p>
      <w:pPr>
        <w:spacing w:line="560" w:lineRule="exact"/>
        <w:ind w:firstLine="640"/>
        <w:rPr>
          <w:rFonts w:hint="eastAsia" w:ascii="仿宋_GB2312" w:hAnsi="宋体"/>
          <w:sz w:val="32"/>
          <w:szCs w:val="32"/>
        </w:rPr>
      </w:pPr>
      <w:r>
        <w:rPr>
          <w:rFonts w:hint="eastAsia" w:ascii="仿宋_GB2312" w:hAnsi="宋体"/>
          <w:sz w:val="32"/>
          <w:szCs w:val="32"/>
        </w:rPr>
        <w:t xml:space="preserve"> </w:t>
      </w:r>
    </w:p>
    <w:p>
      <w:pPr>
        <w:spacing w:line="560" w:lineRule="exact"/>
        <w:ind w:right="480"/>
        <w:jc w:val="right"/>
        <w:rPr>
          <w:rFonts w:hint="eastAsia" w:ascii="仿宋_GB2312" w:hAnsi="宋体"/>
          <w:sz w:val="32"/>
          <w:szCs w:val="32"/>
        </w:rPr>
      </w:pPr>
      <w:r>
        <w:rPr>
          <w:rFonts w:hint="eastAsia" w:ascii="宋体" w:hAnsi="宋体"/>
          <w:sz w:val="32"/>
          <w:szCs w:val="32"/>
        </w:rPr>
        <w:t>杭州萧山国际机场有限公司</w:t>
      </w:r>
    </w:p>
    <w:p>
      <w:pPr>
        <w:spacing w:line="560" w:lineRule="exact"/>
        <w:ind w:firstLine="640"/>
        <w:rPr>
          <w:rFonts w:hint="eastAsia" w:ascii="仿宋_GB2312" w:hAnsi="宋体"/>
          <w:sz w:val="32"/>
          <w:szCs w:val="32"/>
        </w:rPr>
      </w:pPr>
      <w:r>
        <w:rPr>
          <w:rFonts w:hint="eastAsia" w:ascii="仿宋_GB2312" w:hAnsi="宋体"/>
          <w:sz w:val="32"/>
          <w:szCs w:val="32"/>
        </w:rPr>
        <w:t xml:space="preserve">                             2019</w:t>
      </w:r>
      <w:r>
        <w:rPr>
          <w:rFonts w:hint="eastAsia" w:ascii="宋体" w:hAnsi="宋体"/>
          <w:sz w:val="32"/>
          <w:szCs w:val="32"/>
        </w:rPr>
        <w:t>年</w:t>
      </w:r>
      <w:r>
        <w:rPr>
          <w:rFonts w:hint="eastAsia" w:ascii="仿宋_GB2312" w:hAnsi="宋体" w:eastAsia="仿宋_GB2312"/>
          <w:sz w:val="32"/>
          <w:szCs w:val="32"/>
          <w:lang w:val="en-US" w:eastAsia="zh-CN"/>
        </w:rPr>
        <w:t>7</w:t>
      </w:r>
      <w:r>
        <w:rPr>
          <w:rFonts w:hint="eastAsia" w:ascii="宋体" w:hAnsi="宋体"/>
          <w:sz w:val="32"/>
          <w:szCs w:val="32"/>
        </w:rPr>
        <w:t>月</w:t>
      </w:r>
      <w:r>
        <w:rPr>
          <w:rFonts w:hint="eastAsia" w:ascii="仿宋_GB2312" w:hAnsi="宋体" w:eastAsia="仿宋_GB2312"/>
          <w:sz w:val="32"/>
          <w:szCs w:val="32"/>
          <w:lang w:val="en-US" w:eastAsia="zh-CN"/>
        </w:rPr>
        <w:t>5</w:t>
      </w:r>
      <w:r>
        <w:rPr>
          <w:rFonts w:hint="eastAsia" w:ascii="宋体" w:hAnsi="宋体"/>
          <w:sz w:val="32"/>
          <w:szCs w:val="32"/>
        </w:rPr>
        <w:t>日</w:t>
      </w:r>
      <w:r>
        <w:rPr>
          <w:rFonts w:hint="eastAsia" w:ascii="仿宋_GB2312" w:hAnsi="宋体"/>
          <w:sz w:val="32"/>
          <w:szCs w:val="32"/>
        </w:rPr>
        <w:t xml:space="preserve"> </w:t>
      </w:r>
    </w:p>
    <w:p>
      <w:pPr>
        <w:widowControl/>
        <w:jc w:val="left"/>
        <w:rPr>
          <w:rFonts w:ascii="仿宋_GB2312" w:hAnsi="宋体" w:eastAsia="仿宋_GB2312" w:cs="宋体"/>
          <w:sz w:val="28"/>
          <w:szCs w:val="28"/>
          <w:shd w:val="clear" w:color="auto" w:fill="FFFFFF"/>
        </w:rPr>
        <w:sectPr>
          <w:pgSz w:w="11906" w:h="16838"/>
          <w:pgMar w:top="1440" w:right="1800" w:bottom="1440" w:left="1800" w:header="851" w:footer="992" w:gutter="0"/>
          <w:cols w:space="425" w:num="1"/>
          <w:docGrid w:type="lines" w:linePitch="312" w:charSpace="0"/>
        </w:sectPr>
      </w:pPr>
    </w:p>
    <w:p>
      <w:pPr>
        <w:ind w:firstLine="560"/>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t>附件：报价单（格式）</w:t>
      </w:r>
    </w:p>
    <w:p>
      <w:pPr>
        <w:ind w:firstLine="720"/>
        <w:jc w:val="center"/>
        <w:rPr>
          <w:rFonts w:hint="eastAsia" w:ascii="方正小标宋简体" w:eastAsia="方正小标宋简体"/>
          <w:sz w:val="36"/>
          <w:szCs w:val="36"/>
        </w:rPr>
      </w:pPr>
      <w:r>
        <w:rPr>
          <w:rFonts w:hint="eastAsia" w:ascii="方正小标宋简体" w:eastAsia="方正小标宋简体"/>
          <w:sz w:val="36"/>
          <w:szCs w:val="36"/>
        </w:rPr>
        <w:t>报 价 单</w:t>
      </w:r>
    </w:p>
    <w:p>
      <w:pPr>
        <w:ind w:firstLine="560"/>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t>杭州萧山国际机场有限公司：</w:t>
      </w:r>
    </w:p>
    <w:tbl>
      <w:tblPr>
        <w:tblStyle w:val="9"/>
        <w:tblW w:w="8687" w:type="dxa"/>
        <w:tblInd w:w="-106" w:type="dxa"/>
        <w:tblLayout w:type="fixed"/>
        <w:tblCellMar>
          <w:top w:w="0" w:type="dxa"/>
          <w:left w:w="108" w:type="dxa"/>
          <w:bottom w:w="0" w:type="dxa"/>
          <w:right w:w="108" w:type="dxa"/>
        </w:tblCellMar>
      </w:tblPr>
      <w:tblGrid>
        <w:gridCol w:w="781"/>
        <w:gridCol w:w="796"/>
        <w:gridCol w:w="905"/>
        <w:gridCol w:w="2410"/>
        <w:gridCol w:w="760"/>
        <w:gridCol w:w="1008"/>
        <w:gridCol w:w="1013"/>
        <w:gridCol w:w="1014"/>
      </w:tblGrid>
      <w:tr>
        <w:tblPrEx>
          <w:tblLayout w:type="fixed"/>
          <w:tblCellMar>
            <w:top w:w="0" w:type="dxa"/>
            <w:left w:w="108" w:type="dxa"/>
            <w:bottom w:w="0" w:type="dxa"/>
            <w:right w:w="108" w:type="dxa"/>
          </w:tblCellMar>
        </w:tblPrEx>
        <w:trPr>
          <w:trHeight w:val="738" w:hRule="atLeast"/>
        </w:trPr>
        <w:tc>
          <w:tcPr>
            <w:tcW w:w="7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b/>
                <w:bCs/>
                <w:kern w:val="0"/>
                <w:sz w:val="24"/>
                <w:szCs w:val="24"/>
              </w:rPr>
            </w:pPr>
            <w:r>
              <w:rPr>
                <w:rFonts w:hint="eastAsia" w:ascii="仿宋_GB2312" w:hAnsi="宋体" w:eastAsia="仿宋_GB2312"/>
                <w:b/>
                <w:bCs/>
                <w:kern w:val="0"/>
                <w:sz w:val="24"/>
                <w:szCs w:val="24"/>
              </w:rPr>
              <w:t>序号</w:t>
            </w:r>
          </w:p>
        </w:tc>
        <w:tc>
          <w:tcPr>
            <w:tcW w:w="1701"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b/>
                <w:bCs/>
                <w:kern w:val="0"/>
                <w:sz w:val="24"/>
                <w:szCs w:val="24"/>
              </w:rPr>
            </w:pPr>
            <w:r>
              <w:rPr>
                <w:rFonts w:hint="eastAsia" w:ascii="仿宋_GB2312" w:hAnsi="宋体" w:eastAsia="仿宋_GB2312"/>
                <w:b/>
                <w:bCs/>
                <w:kern w:val="0"/>
                <w:sz w:val="24"/>
                <w:szCs w:val="24"/>
              </w:rPr>
              <w:t>项目名称</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b/>
                <w:bCs/>
                <w:kern w:val="0"/>
                <w:sz w:val="24"/>
                <w:szCs w:val="24"/>
              </w:rPr>
            </w:pPr>
            <w:r>
              <w:rPr>
                <w:rFonts w:hint="eastAsia" w:ascii="仿宋_GB2312" w:hAnsi="宋体" w:eastAsia="仿宋_GB2312"/>
                <w:b/>
                <w:bCs/>
                <w:kern w:val="0"/>
                <w:sz w:val="24"/>
                <w:szCs w:val="24"/>
              </w:rPr>
              <w:t>型号配置</w:t>
            </w:r>
          </w:p>
        </w:tc>
        <w:tc>
          <w:tcPr>
            <w:tcW w:w="76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b/>
                <w:bCs/>
                <w:kern w:val="0"/>
                <w:sz w:val="24"/>
                <w:szCs w:val="24"/>
              </w:rPr>
            </w:pPr>
            <w:r>
              <w:rPr>
                <w:rFonts w:hint="eastAsia" w:ascii="仿宋_GB2312" w:hAnsi="宋体" w:eastAsia="仿宋_GB2312"/>
                <w:b/>
                <w:bCs/>
                <w:kern w:val="0"/>
                <w:sz w:val="24"/>
                <w:szCs w:val="24"/>
              </w:rPr>
              <w:t>数量</w:t>
            </w:r>
          </w:p>
        </w:tc>
        <w:tc>
          <w:tcPr>
            <w:tcW w:w="100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b/>
                <w:bCs/>
                <w:kern w:val="0"/>
                <w:sz w:val="24"/>
                <w:szCs w:val="24"/>
              </w:rPr>
            </w:pPr>
            <w:r>
              <w:rPr>
                <w:rFonts w:hint="eastAsia" w:ascii="仿宋_GB2312" w:hAnsi="宋体" w:eastAsia="仿宋_GB2312"/>
                <w:b/>
                <w:bCs/>
                <w:kern w:val="0"/>
                <w:sz w:val="24"/>
                <w:szCs w:val="24"/>
              </w:rPr>
              <w:t>车价（元）</w:t>
            </w:r>
          </w:p>
        </w:tc>
        <w:tc>
          <w:tcPr>
            <w:tcW w:w="101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b/>
                <w:bCs/>
                <w:kern w:val="0"/>
                <w:sz w:val="24"/>
                <w:szCs w:val="24"/>
              </w:rPr>
            </w:pPr>
            <w:r>
              <w:rPr>
                <w:rFonts w:hint="eastAsia" w:ascii="仿宋_GB2312" w:hAnsi="宋体" w:eastAsia="仿宋_GB2312"/>
                <w:b/>
                <w:bCs/>
                <w:kern w:val="0"/>
                <w:sz w:val="24"/>
                <w:szCs w:val="24"/>
              </w:rPr>
              <w:t>购置税</w:t>
            </w:r>
          </w:p>
          <w:p>
            <w:pPr>
              <w:widowControl/>
              <w:jc w:val="center"/>
              <w:rPr>
                <w:rFonts w:ascii="仿宋_GB2312" w:hAnsi="宋体" w:eastAsia="仿宋_GB2312"/>
                <w:b/>
                <w:bCs/>
                <w:kern w:val="0"/>
                <w:sz w:val="24"/>
                <w:szCs w:val="24"/>
              </w:rPr>
            </w:pPr>
            <w:r>
              <w:rPr>
                <w:rFonts w:hint="eastAsia" w:ascii="仿宋_GB2312" w:hAnsi="宋体" w:eastAsia="仿宋_GB2312"/>
                <w:b/>
                <w:bCs/>
                <w:kern w:val="0"/>
                <w:sz w:val="24"/>
                <w:szCs w:val="24"/>
              </w:rPr>
              <w:t>（元）</w:t>
            </w:r>
          </w:p>
        </w:tc>
        <w:tc>
          <w:tcPr>
            <w:tcW w:w="101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b/>
                <w:bCs/>
                <w:kern w:val="0"/>
                <w:sz w:val="24"/>
                <w:szCs w:val="24"/>
              </w:rPr>
            </w:pPr>
            <w:r>
              <w:rPr>
                <w:rFonts w:hint="eastAsia" w:ascii="仿宋_GB2312" w:hAnsi="宋体" w:eastAsia="仿宋_GB2312"/>
                <w:b/>
                <w:bCs/>
                <w:kern w:val="0"/>
                <w:sz w:val="24"/>
                <w:szCs w:val="24"/>
              </w:rPr>
              <w:t>合价</w:t>
            </w:r>
          </w:p>
          <w:p>
            <w:pPr>
              <w:widowControl/>
              <w:jc w:val="center"/>
              <w:rPr>
                <w:rFonts w:ascii="仿宋_GB2312" w:hAnsi="宋体" w:eastAsia="仿宋_GB2312"/>
                <w:b/>
                <w:bCs/>
                <w:kern w:val="0"/>
                <w:sz w:val="24"/>
                <w:szCs w:val="24"/>
              </w:rPr>
            </w:pPr>
            <w:r>
              <w:rPr>
                <w:rFonts w:hint="eastAsia" w:ascii="仿宋_GB2312" w:hAnsi="宋体" w:eastAsia="仿宋_GB2312"/>
                <w:b/>
                <w:bCs/>
                <w:kern w:val="0"/>
                <w:sz w:val="24"/>
                <w:szCs w:val="24"/>
              </w:rPr>
              <w:t>（元）</w:t>
            </w:r>
          </w:p>
        </w:tc>
      </w:tr>
      <w:tr>
        <w:tblPrEx>
          <w:tblLayout w:type="fixed"/>
          <w:tblCellMar>
            <w:top w:w="0" w:type="dxa"/>
            <w:left w:w="108" w:type="dxa"/>
            <w:bottom w:w="0" w:type="dxa"/>
            <w:right w:w="108" w:type="dxa"/>
          </w:tblCellMar>
        </w:tblPrEx>
        <w:trPr>
          <w:trHeight w:val="2054" w:hRule="atLeast"/>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kern w:val="0"/>
                <w:sz w:val="24"/>
                <w:szCs w:val="24"/>
              </w:rPr>
            </w:pPr>
            <w:r>
              <w:rPr>
                <w:rFonts w:hint="eastAsia" w:ascii="仿宋_GB2312" w:hAnsi="宋体" w:eastAsia="仿宋_GB2312"/>
                <w:kern w:val="0"/>
                <w:sz w:val="24"/>
                <w:szCs w:val="24"/>
              </w:rPr>
              <w:t>1</w:t>
            </w:r>
          </w:p>
        </w:tc>
        <w:tc>
          <w:tcPr>
            <w:tcW w:w="1701"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宋体" w:eastAsia="仿宋_GB2312"/>
                <w:kern w:val="0"/>
                <w:sz w:val="24"/>
                <w:szCs w:val="24"/>
              </w:rPr>
            </w:pPr>
            <w:r>
              <w:rPr>
                <w:rFonts w:hint="eastAsia" w:ascii="仿宋_GB2312" w:hAnsi="宋体" w:eastAsia="仿宋_GB2312"/>
                <w:kern w:val="0"/>
                <w:sz w:val="24"/>
                <w:szCs w:val="24"/>
              </w:rPr>
              <w:t>别克GL8</w:t>
            </w:r>
          </w:p>
          <w:p>
            <w:pPr>
              <w:rPr>
                <w:rFonts w:ascii="仿宋_GB2312" w:hAnsi="宋体" w:eastAsia="仿宋_GB2312"/>
                <w:kern w:val="0"/>
                <w:sz w:val="24"/>
                <w:szCs w:val="24"/>
              </w:rPr>
            </w:pPr>
            <w:r>
              <w:rPr>
                <w:rFonts w:hint="eastAsia" w:ascii="仿宋_GB2312" w:hAnsi="宋体" w:eastAsia="仿宋_GB2312"/>
                <w:kern w:val="0"/>
                <w:sz w:val="24"/>
                <w:szCs w:val="24"/>
              </w:rPr>
              <w:t>（2018款 28T 豪华型 国VI）</w:t>
            </w:r>
          </w:p>
        </w:tc>
        <w:tc>
          <w:tcPr>
            <w:tcW w:w="2410"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szCs w:val="24"/>
              </w:rPr>
            </w:pPr>
            <w:r>
              <w:rPr>
                <w:rFonts w:hint="eastAsia" w:ascii="仿宋_GB2312" w:hAnsi="宋体" w:eastAsia="仿宋_GB2312"/>
                <w:kern w:val="0"/>
                <w:sz w:val="24"/>
                <w:szCs w:val="24"/>
              </w:rPr>
              <w:t>发动机：2.0T 260马力 L4</w:t>
            </w:r>
          </w:p>
          <w:p>
            <w:pPr>
              <w:rPr>
                <w:rFonts w:hint="eastAsia" w:ascii="仿宋_GB2312" w:hAnsi="宋体" w:eastAsia="仿宋_GB2312"/>
                <w:kern w:val="0"/>
                <w:sz w:val="24"/>
                <w:szCs w:val="24"/>
              </w:rPr>
            </w:pPr>
            <w:r>
              <w:rPr>
                <w:rFonts w:hint="eastAsia" w:ascii="仿宋_GB2312" w:hAnsi="宋体" w:eastAsia="仿宋_GB2312"/>
                <w:kern w:val="0"/>
                <w:sz w:val="24"/>
                <w:szCs w:val="24"/>
              </w:rPr>
              <w:t>驱动及变速箱：前置前驱6挡手自一体</w:t>
            </w:r>
          </w:p>
          <w:p>
            <w:pPr>
              <w:rPr>
                <w:rFonts w:ascii="仿宋_GB2312" w:hAnsi="宋体" w:eastAsia="仿宋_GB2312"/>
                <w:kern w:val="0"/>
                <w:sz w:val="24"/>
                <w:szCs w:val="24"/>
              </w:rPr>
            </w:pPr>
            <w:r>
              <w:rPr>
                <w:rFonts w:hint="eastAsia" w:ascii="仿宋_GB2312" w:hAnsi="宋体" w:eastAsia="仿宋_GB2312"/>
                <w:kern w:val="0"/>
                <w:sz w:val="24"/>
                <w:szCs w:val="24"/>
              </w:rPr>
              <w:t>环保标准：国VI</w:t>
            </w:r>
          </w:p>
        </w:tc>
        <w:tc>
          <w:tcPr>
            <w:tcW w:w="76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4"/>
              </w:rPr>
            </w:pPr>
            <w:r>
              <w:rPr>
                <w:rFonts w:hint="eastAsia" w:ascii="仿宋_GB2312" w:hAnsi="宋体" w:eastAsia="仿宋_GB2312"/>
                <w:kern w:val="0"/>
                <w:sz w:val="24"/>
                <w:szCs w:val="24"/>
              </w:rPr>
              <w:t>1</w:t>
            </w:r>
          </w:p>
        </w:tc>
        <w:tc>
          <w:tcPr>
            <w:tcW w:w="1008"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kern w:val="0"/>
                <w:sz w:val="24"/>
                <w:szCs w:val="24"/>
              </w:rPr>
            </w:pPr>
          </w:p>
        </w:tc>
        <w:tc>
          <w:tcPr>
            <w:tcW w:w="101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101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r>
      <w:tr>
        <w:tblPrEx>
          <w:tblLayout w:type="fixed"/>
          <w:tblCellMar>
            <w:top w:w="0" w:type="dxa"/>
            <w:left w:w="108" w:type="dxa"/>
            <w:bottom w:w="0" w:type="dxa"/>
            <w:right w:w="108" w:type="dxa"/>
          </w:tblCellMar>
        </w:tblPrEx>
        <w:trPr>
          <w:trHeight w:val="1409" w:hRule="atLeast"/>
        </w:trPr>
        <w:tc>
          <w:tcPr>
            <w:tcW w:w="8687"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b/>
                <w:bCs/>
                <w:kern w:val="0"/>
                <w:sz w:val="24"/>
                <w:szCs w:val="24"/>
              </w:rPr>
            </w:pPr>
            <w:r>
              <w:rPr>
                <w:rFonts w:hint="eastAsia" w:ascii="仿宋_GB2312" w:hAnsi="宋体" w:eastAsia="仿宋_GB2312"/>
                <w:b/>
                <w:bCs/>
                <w:kern w:val="0"/>
                <w:sz w:val="24"/>
                <w:szCs w:val="24"/>
              </w:rPr>
              <w:t>报价总价（人民币）￥：              大写：</w:t>
            </w:r>
          </w:p>
        </w:tc>
      </w:tr>
      <w:tr>
        <w:tblPrEx>
          <w:tblLayout w:type="fixed"/>
          <w:tblCellMar>
            <w:top w:w="0" w:type="dxa"/>
            <w:left w:w="108" w:type="dxa"/>
            <w:bottom w:w="0" w:type="dxa"/>
            <w:right w:w="108" w:type="dxa"/>
          </w:tblCellMar>
        </w:tblPrEx>
        <w:trPr>
          <w:trHeight w:val="3256" w:hRule="atLeast"/>
        </w:trPr>
        <w:tc>
          <w:tcPr>
            <w:tcW w:w="15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b/>
                <w:bCs/>
                <w:kern w:val="0"/>
                <w:sz w:val="24"/>
                <w:szCs w:val="24"/>
              </w:rPr>
            </w:pPr>
            <w:r>
              <w:rPr>
                <w:rFonts w:hint="eastAsia" w:ascii="仿宋_GB2312" w:hAnsi="宋体" w:eastAsia="仿宋_GB2312"/>
                <w:b/>
                <w:bCs/>
                <w:kern w:val="0"/>
                <w:sz w:val="24"/>
                <w:szCs w:val="24"/>
              </w:rPr>
              <w:t>其他事项</w:t>
            </w:r>
          </w:p>
        </w:tc>
        <w:tc>
          <w:tcPr>
            <w:tcW w:w="7110" w:type="dxa"/>
            <w:gridSpan w:val="6"/>
            <w:tcBorders>
              <w:top w:val="single" w:color="auto" w:sz="4" w:space="0"/>
              <w:left w:val="nil"/>
              <w:bottom w:val="single" w:color="auto" w:sz="4" w:space="0"/>
              <w:right w:val="single" w:color="auto" w:sz="4" w:space="0"/>
            </w:tcBorders>
            <w:vAlign w:val="center"/>
          </w:tcPr>
          <w:p>
            <w:pPr>
              <w:widowControl/>
              <w:rPr>
                <w:rFonts w:ascii="仿宋_GB2312" w:hAnsi="宋体" w:eastAsia="仿宋_GB2312"/>
                <w:b/>
                <w:bCs/>
                <w:kern w:val="0"/>
                <w:sz w:val="24"/>
                <w:szCs w:val="24"/>
              </w:rPr>
            </w:pPr>
            <w:r>
              <w:rPr>
                <w:rFonts w:hint="eastAsia" w:ascii="仿宋_GB2312" w:hAnsi="宋体" w:eastAsia="仿宋_GB2312"/>
                <w:b/>
                <w:bCs/>
                <w:kern w:val="0"/>
                <w:sz w:val="24"/>
                <w:szCs w:val="24"/>
              </w:rPr>
              <w:t>交货时间：</w:t>
            </w:r>
          </w:p>
          <w:p>
            <w:pPr>
              <w:widowControl/>
              <w:rPr>
                <w:rFonts w:hint="eastAsia" w:ascii="仿宋_GB2312" w:hAnsi="宋体" w:eastAsia="仿宋_GB2312"/>
                <w:b/>
                <w:bCs/>
                <w:kern w:val="0"/>
                <w:sz w:val="24"/>
                <w:szCs w:val="24"/>
              </w:rPr>
            </w:pPr>
            <w:r>
              <w:rPr>
                <w:rFonts w:hint="eastAsia" w:ascii="仿宋_GB2312" w:hAnsi="宋体" w:eastAsia="仿宋_GB2312"/>
                <w:b/>
                <w:bCs/>
                <w:kern w:val="0"/>
                <w:sz w:val="24"/>
                <w:szCs w:val="24"/>
              </w:rPr>
              <w:t xml:space="preserve">交货地点： </w:t>
            </w:r>
            <w:r>
              <w:rPr>
                <w:rFonts w:hint="eastAsia" w:ascii="仿宋_GB2312" w:hAnsi="宋体" w:eastAsia="仿宋_GB2312"/>
                <w:b/>
                <w:bCs/>
                <w:kern w:val="0"/>
                <w:sz w:val="24"/>
                <w:szCs w:val="24"/>
              </w:rPr>
              <w:br w:type="textWrapping"/>
            </w:r>
            <w:r>
              <w:rPr>
                <w:rFonts w:hint="eastAsia" w:ascii="仿宋_GB2312" w:hAnsi="宋体" w:eastAsia="仿宋_GB2312"/>
                <w:b/>
                <w:bCs/>
                <w:kern w:val="0"/>
                <w:sz w:val="24"/>
                <w:szCs w:val="24"/>
              </w:rPr>
              <w:t>质保期：</w:t>
            </w:r>
          </w:p>
          <w:p>
            <w:pPr>
              <w:widowControl/>
              <w:rPr>
                <w:rFonts w:hint="eastAsia" w:ascii="仿宋_GB2312" w:hAnsi="宋体" w:eastAsia="仿宋_GB2312"/>
                <w:b/>
                <w:bCs/>
                <w:kern w:val="0"/>
                <w:sz w:val="24"/>
                <w:szCs w:val="24"/>
              </w:rPr>
            </w:pPr>
            <w:r>
              <w:rPr>
                <w:rFonts w:hint="eastAsia" w:ascii="仿宋_GB2312" w:hAnsi="宋体" w:eastAsia="仿宋_GB2312"/>
                <w:b/>
                <w:bCs/>
                <w:kern w:val="0"/>
                <w:sz w:val="24"/>
                <w:szCs w:val="24"/>
              </w:rPr>
              <w:t>相关优惠措施：</w:t>
            </w:r>
          </w:p>
          <w:p>
            <w:pPr>
              <w:widowControl/>
              <w:rPr>
                <w:rFonts w:hint="eastAsia" w:ascii="仿宋_GB2312" w:hAnsi="宋体" w:eastAsia="仿宋_GB2312"/>
                <w:b/>
                <w:bCs/>
                <w:kern w:val="0"/>
                <w:sz w:val="24"/>
                <w:szCs w:val="24"/>
              </w:rPr>
            </w:pPr>
            <w:r>
              <w:rPr>
                <w:rFonts w:hint="eastAsia" w:ascii="仿宋_GB2312" w:hAnsi="宋体" w:eastAsia="仿宋_GB2312"/>
                <w:b/>
                <w:bCs/>
                <w:kern w:val="0"/>
                <w:sz w:val="24"/>
                <w:szCs w:val="24"/>
              </w:rPr>
              <w:t>报价有效期：半年</w:t>
            </w:r>
          </w:p>
          <w:p>
            <w:pPr>
              <w:widowControl/>
              <w:jc w:val="left"/>
              <w:rPr>
                <w:rFonts w:ascii="仿宋_GB2312" w:hAnsi="宋体" w:eastAsia="仿宋_GB2312"/>
                <w:b/>
                <w:bCs/>
                <w:kern w:val="0"/>
                <w:sz w:val="24"/>
                <w:szCs w:val="24"/>
              </w:rPr>
            </w:pPr>
          </w:p>
        </w:tc>
      </w:tr>
    </w:tbl>
    <w:p>
      <w:pPr>
        <w:ind w:firstLine="560"/>
        <w:rPr>
          <w:rFonts w:hint="eastAsia" w:ascii="仿宋_GB2312" w:hAnsi="宋体"/>
        </w:rPr>
      </w:pPr>
      <w:r>
        <w:rPr>
          <w:rFonts w:hint="eastAsia" w:ascii="仿宋_GB2312" w:hAnsi="宋体"/>
        </w:rPr>
        <w:t xml:space="preserve"> </w:t>
      </w:r>
    </w:p>
    <w:p>
      <w:pPr>
        <w:ind w:firstLine="560"/>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t xml:space="preserve"> </w:t>
      </w:r>
    </w:p>
    <w:p>
      <w:pPr>
        <w:ind w:firstLine="560"/>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t>单位名称（盖章）：</w:t>
      </w:r>
    </w:p>
    <w:p>
      <w:pPr>
        <w:ind w:firstLine="560"/>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t>报价人（签名）：</w:t>
      </w:r>
    </w:p>
    <w:p>
      <w:pPr>
        <w:ind w:firstLine="560"/>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t xml:space="preserve">联系方式：  </w:t>
      </w:r>
    </w:p>
    <w:p>
      <w:pPr>
        <w:ind w:firstLine="560"/>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t>日    期：    年   月   日</w:t>
      </w:r>
    </w:p>
    <w:p>
      <w:pPr>
        <w:widowControl/>
        <w:jc w:val="left"/>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br w:type="page"/>
      </w:r>
    </w:p>
    <w:p>
      <w:pPr>
        <w:jc w:val="center"/>
        <w:rPr>
          <w:rFonts w:hint="eastAsia" w:ascii="仿宋_GB2312" w:eastAsia="仿宋_GB2312"/>
          <w:b/>
          <w:bCs/>
          <w:sz w:val="28"/>
          <w:szCs w:val="28"/>
        </w:rPr>
      </w:pPr>
      <w:r>
        <w:rPr>
          <w:rFonts w:hint="eastAsia" w:ascii="仿宋_GB2312" w:hAnsi="方正小标宋简体" w:eastAsia="仿宋_GB2312" w:cs="方正小标宋简体"/>
          <w:b/>
          <w:bCs/>
          <w:sz w:val="28"/>
          <w:szCs w:val="28"/>
        </w:rPr>
        <w:t>杭州萧山国际机场【】车辆采购合同</w:t>
      </w:r>
    </w:p>
    <w:p>
      <w:pPr>
        <w:rPr>
          <w:rFonts w:hint="eastAsia" w:ascii="仿宋_GB2312" w:eastAsia="仿宋_GB2312"/>
          <w:sz w:val="28"/>
          <w:szCs w:val="28"/>
        </w:rPr>
      </w:pP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rPr>
        <w:t>甲方： 杭州萧山国际机场有限公司</w:t>
      </w:r>
    </w:p>
    <w:p>
      <w:pPr>
        <w:rPr>
          <w:rFonts w:hint="eastAsia" w:ascii="仿宋_GB2312" w:eastAsia="仿宋_GB2312"/>
          <w:sz w:val="28"/>
          <w:szCs w:val="28"/>
        </w:rPr>
      </w:pPr>
      <w:r>
        <w:rPr>
          <w:rFonts w:hint="eastAsia" w:ascii="仿宋_GB2312" w:eastAsia="仿宋_GB2312"/>
          <w:sz w:val="28"/>
          <w:szCs w:val="28"/>
        </w:rPr>
        <w:t>住所地：杭州萧山国际机场内</w:t>
      </w:r>
    </w:p>
    <w:p>
      <w:pPr>
        <w:rPr>
          <w:rFonts w:hint="eastAsia" w:ascii="仿宋_GB2312" w:eastAsia="仿宋_GB2312"/>
          <w:sz w:val="28"/>
          <w:szCs w:val="28"/>
        </w:rPr>
      </w:pP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rPr>
        <w:t xml:space="preserve">乙方： </w:t>
      </w:r>
    </w:p>
    <w:p>
      <w:pPr>
        <w:rPr>
          <w:rFonts w:hint="eastAsia" w:ascii="仿宋_GB2312" w:eastAsia="仿宋_GB2312"/>
          <w:sz w:val="28"/>
          <w:szCs w:val="28"/>
        </w:rPr>
      </w:pPr>
      <w:r>
        <w:rPr>
          <w:rFonts w:hint="eastAsia" w:ascii="仿宋_GB2312" w:eastAsia="仿宋_GB2312"/>
          <w:sz w:val="28"/>
          <w:szCs w:val="28"/>
        </w:rPr>
        <w:t>住所地：</w:t>
      </w:r>
    </w:p>
    <w:p>
      <w:pPr>
        <w:rPr>
          <w:rFonts w:hint="eastAsia" w:ascii="仿宋_GB2312" w:eastAsia="仿宋_GB2312"/>
          <w:sz w:val="28"/>
          <w:szCs w:val="28"/>
        </w:rPr>
      </w:pPr>
      <w:r>
        <w:rPr>
          <w:rFonts w:hint="eastAsia" w:ascii="仿宋_GB2312" w:eastAsia="仿宋_GB2312"/>
          <w:sz w:val="28"/>
          <w:szCs w:val="28"/>
        </w:rPr>
        <w:t xml:space="preserve"> </w:t>
      </w:r>
    </w:p>
    <w:p>
      <w:pPr>
        <w:ind w:firstLine="686" w:firstLineChars="245"/>
        <w:rPr>
          <w:rFonts w:hint="eastAsia" w:ascii="仿宋_GB2312" w:eastAsia="仿宋_GB2312"/>
          <w:sz w:val="28"/>
          <w:szCs w:val="28"/>
        </w:rPr>
      </w:pPr>
      <w:r>
        <w:rPr>
          <w:rFonts w:hint="eastAsia" w:ascii="仿宋_GB2312" w:eastAsia="仿宋_GB2312"/>
          <w:sz w:val="28"/>
          <w:szCs w:val="28"/>
        </w:rPr>
        <w:t>依据《中华人民共和国》及其他有关法律的规定，甲，乙双方在平等，自愿，公平，诚实信用的基础上，就汽车买卖有关事宜协商订立本合同。</w:t>
      </w:r>
    </w:p>
    <w:p>
      <w:pPr>
        <w:pStyle w:val="10"/>
        <w:numPr>
          <w:ilvl w:val="0"/>
          <w:numId w:val="1"/>
        </w:numPr>
        <w:ind w:firstLineChars="0"/>
        <w:rPr>
          <w:rFonts w:hint="eastAsia" w:ascii="仿宋_GB2312" w:eastAsia="仿宋_GB2312"/>
          <w:sz w:val="28"/>
          <w:szCs w:val="28"/>
        </w:rPr>
      </w:pPr>
      <w:r>
        <w:rPr>
          <w:rFonts w:hint="eastAsia" w:ascii="仿宋_GB2312" w:eastAsia="仿宋_GB2312"/>
          <w:sz w:val="28"/>
          <w:szCs w:val="28"/>
        </w:rPr>
        <w:t>汽车名称，数量及价款</w:t>
      </w:r>
    </w:p>
    <w:tbl>
      <w:tblPr>
        <w:tblStyle w:val="9"/>
        <w:tblW w:w="9666" w:type="dxa"/>
        <w:tblInd w:w="7" w:type="dxa"/>
        <w:tblLayout w:type="fixed"/>
        <w:tblCellMar>
          <w:top w:w="0" w:type="dxa"/>
          <w:left w:w="108" w:type="dxa"/>
          <w:bottom w:w="0" w:type="dxa"/>
          <w:right w:w="108" w:type="dxa"/>
        </w:tblCellMar>
      </w:tblPr>
      <w:tblGrid>
        <w:gridCol w:w="2300"/>
        <w:gridCol w:w="2183"/>
        <w:gridCol w:w="2467"/>
        <w:gridCol w:w="2716"/>
      </w:tblGrid>
      <w:tr>
        <w:tblPrEx>
          <w:tblLayout w:type="fixed"/>
          <w:tblCellMar>
            <w:top w:w="0" w:type="dxa"/>
            <w:left w:w="108" w:type="dxa"/>
            <w:bottom w:w="0" w:type="dxa"/>
            <w:right w:w="108" w:type="dxa"/>
          </w:tblCellMar>
        </w:tblPrEx>
        <w:trPr>
          <w:trHeight w:val="438" w:hRule="atLeast"/>
        </w:trPr>
        <w:tc>
          <w:tcPr>
            <w:tcW w:w="2300" w:type="dxa"/>
            <w:tcBorders>
              <w:top w:val="single" w:color="auto" w:sz="4" w:space="0"/>
              <w:left w:val="single" w:color="auto" w:sz="4" w:space="0"/>
              <w:bottom w:val="single" w:color="auto" w:sz="4" w:space="0"/>
              <w:right w:val="single" w:color="auto" w:sz="4" w:space="0"/>
            </w:tcBorders>
            <w:vAlign w:val="top"/>
          </w:tcPr>
          <w:p>
            <w:pPr>
              <w:jc w:val="center"/>
              <w:rPr>
                <w:rFonts w:ascii="仿宋_GB2312" w:eastAsia="仿宋_GB2312"/>
                <w:b/>
                <w:bCs/>
                <w:sz w:val="28"/>
                <w:szCs w:val="28"/>
              </w:rPr>
            </w:pPr>
            <w:r>
              <w:rPr>
                <w:rFonts w:hint="eastAsia" w:ascii="仿宋_GB2312" w:eastAsia="仿宋_GB2312"/>
                <w:b/>
                <w:bCs/>
                <w:sz w:val="28"/>
                <w:szCs w:val="28"/>
              </w:rPr>
              <w:t>汽车品牌</w:t>
            </w:r>
          </w:p>
        </w:tc>
        <w:tc>
          <w:tcPr>
            <w:tcW w:w="2183" w:type="dxa"/>
            <w:tcBorders>
              <w:top w:val="single" w:color="auto" w:sz="4" w:space="0"/>
              <w:left w:val="nil"/>
              <w:bottom w:val="single" w:color="auto" w:sz="4" w:space="0"/>
              <w:right w:val="single" w:color="auto" w:sz="4" w:space="0"/>
            </w:tcBorders>
            <w:vAlign w:val="top"/>
          </w:tcPr>
          <w:p>
            <w:pPr>
              <w:ind w:firstLine="281" w:firstLineChars="100"/>
              <w:rPr>
                <w:rFonts w:ascii="仿宋_GB2312" w:eastAsia="仿宋_GB2312"/>
                <w:b/>
                <w:bCs/>
                <w:sz w:val="28"/>
                <w:szCs w:val="28"/>
              </w:rPr>
            </w:pPr>
          </w:p>
        </w:tc>
        <w:tc>
          <w:tcPr>
            <w:tcW w:w="2467" w:type="dxa"/>
            <w:tcBorders>
              <w:top w:val="single" w:color="auto" w:sz="4" w:space="0"/>
              <w:left w:val="nil"/>
              <w:bottom w:val="single" w:color="auto" w:sz="4" w:space="0"/>
              <w:right w:val="single" w:color="auto" w:sz="4" w:space="0"/>
            </w:tcBorders>
            <w:vAlign w:val="top"/>
          </w:tcPr>
          <w:p>
            <w:pPr>
              <w:ind w:firstLine="551" w:firstLineChars="196"/>
              <w:rPr>
                <w:rFonts w:ascii="仿宋_GB2312" w:eastAsia="仿宋_GB2312"/>
                <w:b/>
                <w:bCs/>
                <w:sz w:val="28"/>
                <w:szCs w:val="28"/>
              </w:rPr>
            </w:pPr>
            <w:r>
              <w:rPr>
                <w:rFonts w:hint="eastAsia" w:ascii="仿宋_GB2312" w:eastAsia="仿宋_GB2312"/>
                <w:b/>
                <w:bCs/>
                <w:sz w:val="28"/>
                <w:szCs w:val="28"/>
              </w:rPr>
              <w:t>型号规格</w:t>
            </w:r>
          </w:p>
        </w:tc>
        <w:tc>
          <w:tcPr>
            <w:tcW w:w="2716" w:type="dxa"/>
            <w:tcBorders>
              <w:top w:val="single" w:color="auto" w:sz="4" w:space="0"/>
              <w:left w:val="nil"/>
              <w:bottom w:val="single" w:color="auto" w:sz="4" w:space="0"/>
              <w:right w:val="single" w:color="auto" w:sz="4" w:space="0"/>
            </w:tcBorders>
            <w:vAlign w:val="top"/>
          </w:tcPr>
          <w:p>
            <w:pPr>
              <w:rPr>
                <w:rFonts w:ascii="仿宋_GB2312" w:eastAsia="仿宋_GB2312"/>
                <w:b/>
                <w:bCs/>
                <w:sz w:val="28"/>
                <w:szCs w:val="28"/>
              </w:rPr>
            </w:pPr>
            <w:r>
              <w:rPr>
                <w:rFonts w:hint="eastAsia" w:ascii="仿宋_GB2312" w:eastAsia="仿宋_GB2312"/>
                <w:b/>
                <w:bCs/>
                <w:sz w:val="28"/>
                <w:szCs w:val="28"/>
              </w:rPr>
              <w:t xml:space="preserve">  </w:t>
            </w:r>
          </w:p>
        </w:tc>
      </w:tr>
      <w:tr>
        <w:tblPrEx>
          <w:tblLayout w:type="fixed"/>
          <w:tblCellMar>
            <w:top w:w="0" w:type="dxa"/>
            <w:left w:w="108" w:type="dxa"/>
            <w:bottom w:w="0" w:type="dxa"/>
            <w:right w:w="108" w:type="dxa"/>
          </w:tblCellMar>
        </w:tblPrEx>
        <w:trPr>
          <w:trHeight w:val="463" w:hRule="atLeast"/>
        </w:trPr>
        <w:tc>
          <w:tcPr>
            <w:tcW w:w="2300"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bCs/>
                <w:sz w:val="28"/>
                <w:szCs w:val="28"/>
              </w:rPr>
            </w:pPr>
            <w:r>
              <w:rPr>
                <w:rFonts w:hint="eastAsia" w:ascii="仿宋_GB2312" w:eastAsia="仿宋_GB2312"/>
                <w:b/>
                <w:bCs/>
                <w:sz w:val="28"/>
                <w:szCs w:val="28"/>
              </w:rPr>
              <w:t xml:space="preserve">  生产厂商</w:t>
            </w:r>
          </w:p>
        </w:tc>
        <w:tc>
          <w:tcPr>
            <w:tcW w:w="2183" w:type="dxa"/>
            <w:tcBorders>
              <w:top w:val="single" w:color="auto" w:sz="4" w:space="0"/>
              <w:left w:val="nil"/>
              <w:bottom w:val="single" w:color="auto" w:sz="4" w:space="0"/>
              <w:right w:val="single" w:color="auto" w:sz="4" w:space="0"/>
            </w:tcBorders>
            <w:vAlign w:val="top"/>
          </w:tcPr>
          <w:p>
            <w:pPr>
              <w:ind w:firstLine="280" w:firstLineChars="100"/>
              <w:rPr>
                <w:rFonts w:ascii="仿宋_GB2312" w:eastAsia="仿宋_GB2312"/>
                <w:sz w:val="28"/>
                <w:szCs w:val="28"/>
              </w:rPr>
            </w:pPr>
          </w:p>
        </w:tc>
        <w:tc>
          <w:tcPr>
            <w:tcW w:w="2467" w:type="dxa"/>
            <w:tcBorders>
              <w:top w:val="single" w:color="auto" w:sz="4" w:space="0"/>
              <w:left w:val="nil"/>
              <w:bottom w:val="single" w:color="auto" w:sz="4" w:space="0"/>
              <w:right w:val="single" w:color="auto" w:sz="4" w:space="0"/>
            </w:tcBorders>
            <w:vAlign w:val="top"/>
          </w:tcPr>
          <w:p>
            <w:pPr>
              <w:rPr>
                <w:rFonts w:ascii="仿宋_GB2312" w:eastAsia="仿宋_GB2312"/>
                <w:b/>
                <w:bCs/>
                <w:sz w:val="28"/>
                <w:szCs w:val="28"/>
              </w:rPr>
            </w:pPr>
            <w:r>
              <w:rPr>
                <w:rFonts w:hint="eastAsia" w:ascii="仿宋_GB2312" w:eastAsia="仿宋_GB2312"/>
                <w:b/>
                <w:bCs/>
                <w:sz w:val="28"/>
                <w:szCs w:val="28"/>
              </w:rPr>
              <w:t xml:space="preserve">  生产国及产地</w:t>
            </w:r>
          </w:p>
        </w:tc>
        <w:tc>
          <w:tcPr>
            <w:tcW w:w="2716" w:type="dxa"/>
            <w:tcBorders>
              <w:top w:val="single" w:color="auto" w:sz="4" w:space="0"/>
              <w:left w:val="nil"/>
              <w:bottom w:val="single" w:color="auto" w:sz="4" w:space="0"/>
              <w:right w:val="single" w:color="auto" w:sz="4" w:space="0"/>
            </w:tcBorders>
            <w:vAlign w:val="top"/>
          </w:tcPr>
          <w:p>
            <w:pPr>
              <w:rPr>
                <w:rFonts w:ascii="仿宋_GB2312" w:eastAsia="仿宋_GB2312"/>
                <w:sz w:val="28"/>
                <w:szCs w:val="28"/>
              </w:rPr>
            </w:pPr>
            <w:r>
              <w:rPr>
                <w:rFonts w:hint="eastAsia" w:ascii="仿宋_GB2312" w:eastAsia="仿宋_GB2312"/>
                <w:sz w:val="28"/>
                <w:szCs w:val="28"/>
              </w:rPr>
              <w:t xml:space="preserve">  </w:t>
            </w:r>
          </w:p>
        </w:tc>
      </w:tr>
      <w:tr>
        <w:tblPrEx>
          <w:tblLayout w:type="fixed"/>
          <w:tblCellMar>
            <w:top w:w="0" w:type="dxa"/>
            <w:left w:w="108" w:type="dxa"/>
            <w:bottom w:w="0" w:type="dxa"/>
            <w:right w:w="108" w:type="dxa"/>
          </w:tblCellMar>
        </w:tblPrEx>
        <w:trPr>
          <w:trHeight w:val="438" w:hRule="atLeast"/>
        </w:trPr>
        <w:tc>
          <w:tcPr>
            <w:tcW w:w="2300"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bCs/>
                <w:sz w:val="28"/>
                <w:szCs w:val="28"/>
              </w:rPr>
            </w:pPr>
            <w:r>
              <w:rPr>
                <w:rFonts w:hint="eastAsia" w:ascii="仿宋_GB2312" w:eastAsia="仿宋_GB2312"/>
                <w:b/>
                <w:bCs/>
                <w:sz w:val="28"/>
                <w:szCs w:val="28"/>
              </w:rPr>
              <w:t xml:space="preserve">  发动机号</w:t>
            </w:r>
          </w:p>
        </w:tc>
        <w:tc>
          <w:tcPr>
            <w:tcW w:w="2183" w:type="dxa"/>
            <w:tcBorders>
              <w:top w:val="single" w:color="auto" w:sz="4" w:space="0"/>
              <w:left w:val="nil"/>
              <w:bottom w:val="single" w:color="auto" w:sz="4" w:space="0"/>
              <w:right w:val="single" w:color="auto" w:sz="4" w:space="0"/>
            </w:tcBorders>
            <w:vAlign w:val="top"/>
          </w:tcPr>
          <w:p>
            <w:pPr>
              <w:rPr>
                <w:rFonts w:ascii="仿宋_GB2312" w:eastAsia="仿宋_GB2312"/>
                <w:sz w:val="28"/>
                <w:szCs w:val="28"/>
              </w:rPr>
            </w:pPr>
            <w:r>
              <w:rPr>
                <w:rFonts w:hint="eastAsia" w:ascii="仿宋_GB2312" w:eastAsia="仿宋_GB2312"/>
                <w:sz w:val="28"/>
                <w:szCs w:val="28"/>
              </w:rPr>
              <w:t xml:space="preserve">  </w:t>
            </w:r>
          </w:p>
        </w:tc>
        <w:tc>
          <w:tcPr>
            <w:tcW w:w="2467" w:type="dxa"/>
            <w:tcBorders>
              <w:top w:val="single" w:color="auto" w:sz="4" w:space="0"/>
              <w:left w:val="nil"/>
              <w:bottom w:val="single" w:color="auto" w:sz="4" w:space="0"/>
              <w:right w:val="single" w:color="auto" w:sz="4" w:space="0"/>
            </w:tcBorders>
            <w:vAlign w:val="top"/>
          </w:tcPr>
          <w:p>
            <w:pPr>
              <w:rPr>
                <w:rFonts w:ascii="仿宋_GB2312" w:eastAsia="仿宋_GB2312"/>
                <w:b/>
                <w:bCs/>
                <w:sz w:val="28"/>
                <w:szCs w:val="28"/>
              </w:rPr>
            </w:pPr>
            <w:r>
              <w:rPr>
                <w:rFonts w:hint="eastAsia" w:ascii="仿宋_GB2312" w:eastAsia="仿宋_GB2312"/>
                <w:b/>
                <w:bCs/>
                <w:sz w:val="28"/>
                <w:szCs w:val="28"/>
              </w:rPr>
              <w:t xml:space="preserve">    合格证号</w:t>
            </w:r>
          </w:p>
        </w:tc>
        <w:tc>
          <w:tcPr>
            <w:tcW w:w="2716" w:type="dxa"/>
            <w:tcBorders>
              <w:top w:val="single" w:color="auto" w:sz="4" w:space="0"/>
              <w:left w:val="nil"/>
              <w:bottom w:val="single" w:color="auto" w:sz="4" w:space="0"/>
              <w:right w:val="single" w:color="auto" w:sz="4" w:space="0"/>
            </w:tcBorders>
            <w:vAlign w:val="top"/>
          </w:tcPr>
          <w:p>
            <w:pPr>
              <w:rPr>
                <w:rFonts w:ascii="仿宋_GB2312" w:eastAsia="仿宋_GB2312"/>
                <w:sz w:val="28"/>
                <w:szCs w:val="28"/>
              </w:rPr>
            </w:pPr>
          </w:p>
        </w:tc>
      </w:tr>
      <w:tr>
        <w:tblPrEx>
          <w:tblLayout w:type="fixed"/>
          <w:tblCellMar>
            <w:top w:w="0" w:type="dxa"/>
            <w:left w:w="108" w:type="dxa"/>
            <w:bottom w:w="0" w:type="dxa"/>
            <w:right w:w="108" w:type="dxa"/>
          </w:tblCellMar>
        </w:tblPrEx>
        <w:trPr>
          <w:trHeight w:val="438" w:hRule="atLeast"/>
        </w:trPr>
        <w:tc>
          <w:tcPr>
            <w:tcW w:w="2300"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bCs/>
                <w:sz w:val="28"/>
                <w:szCs w:val="28"/>
              </w:rPr>
            </w:pPr>
            <w:r>
              <w:rPr>
                <w:rFonts w:hint="eastAsia" w:ascii="仿宋_GB2312" w:eastAsia="仿宋_GB2312"/>
                <w:b/>
                <w:bCs/>
                <w:sz w:val="28"/>
                <w:szCs w:val="28"/>
              </w:rPr>
              <w:t xml:space="preserve">    数量</w:t>
            </w:r>
          </w:p>
        </w:tc>
        <w:tc>
          <w:tcPr>
            <w:tcW w:w="2183" w:type="dxa"/>
            <w:tcBorders>
              <w:top w:val="single" w:color="auto" w:sz="4" w:space="0"/>
              <w:left w:val="nil"/>
              <w:bottom w:val="single" w:color="auto" w:sz="4" w:space="0"/>
              <w:right w:val="single" w:color="auto" w:sz="4" w:space="0"/>
            </w:tcBorders>
            <w:vAlign w:val="top"/>
          </w:tcPr>
          <w:p>
            <w:pPr>
              <w:rPr>
                <w:rFonts w:ascii="仿宋_GB2312" w:eastAsia="仿宋_GB2312"/>
                <w:sz w:val="28"/>
                <w:szCs w:val="28"/>
              </w:rPr>
            </w:pPr>
            <w:r>
              <w:rPr>
                <w:rFonts w:hint="eastAsia" w:ascii="仿宋_GB2312" w:eastAsia="仿宋_GB2312"/>
                <w:sz w:val="28"/>
                <w:szCs w:val="28"/>
              </w:rPr>
              <w:t xml:space="preserve">  </w:t>
            </w:r>
          </w:p>
        </w:tc>
        <w:tc>
          <w:tcPr>
            <w:tcW w:w="2467" w:type="dxa"/>
            <w:tcBorders>
              <w:top w:val="single" w:color="auto" w:sz="4" w:space="0"/>
              <w:left w:val="nil"/>
              <w:bottom w:val="single" w:color="auto" w:sz="4" w:space="0"/>
              <w:right w:val="single" w:color="auto" w:sz="4" w:space="0"/>
            </w:tcBorders>
            <w:vAlign w:val="top"/>
          </w:tcPr>
          <w:p>
            <w:pPr>
              <w:rPr>
                <w:rFonts w:ascii="仿宋_GB2312" w:eastAsia="仿宋_GB2312"/>
                <w:b/>
                <w:bCs/>
                <w:sz w:val="28"/>
                <w:szCs w:val="28"/>
              </w:rPr>
            </w:pPr>
            <w:r>
              <w:rPr>
                <w:rFonts w:hint="eastAsia" w:ascii="仿宋_GB2312" w:eastAsia="仿宋_GB2312"/>
                <w:b/>
                <w:bCs/>
                <w:sz w:val="28"/>
                <w:szCs w:val="28"/>
              </w:rPr>
              <w:t xml:space="preserve">     车架号</w:t>
            </w:r>
          </w:p>
        </w:tc>
        <w:tc>
          <w:tcPr>
            <w:tcW w:w="2716" w:type="dxa"/>
            <w:tcBorders>
              <w:top w:val="single" w:color="auto" w:sz="4" w:space="0"/>
              <w:left w:val="nil"/>
              <w:bottom w:val="single" w:color="auto" w:sz="4" w:space="0"/>
              <w:right w:val="single" w:color="auto" w:sz="4" w:space="0"/>
            </w:tcBorders>
            <w:vAlign w:val="top"/>
          </w:tcPr>
          <w:p>
            <w:pPr>
              <w:rPr>
                <w:rFonts w:ascii="仿宋_GB2312" w:eastAsia="仿宋_GB2312"/>
                <w:sz w:val="28"/>
                <w:szCs w:val="28"/>
              </w:rPr>
            </w:pPr>
          </w:p>
        </w:tc>
      </w:tr>
      <w:tr>
        <w:tblPrEx>
          <w:tblLayout w:type="fixed"/>
          <w:tblCellMar>
            <w:top w:w="0" w:type="dxa"/>
            <w:left w:w="108" w:type="dxa"/>
            <w:bottom w:w="0" w:type="dxa"/>
            <w:right w:w="108" w:type="dxa"/>
          </w:tblCellMar>
        </w:tblPrEx>
        <w:trPr>
          <w:trHeight w:val="438" w:hRule="atLeast"/>
        </w:trPr>
        <w:tc>
          <w:tcPr>
            <w:tcW w:w="2300" w:type="dxa"/>
            <w:tcBorders>
              <w:top w:val="single" w:color="auto" w:sz="4" w:space="0"/>
              <w:left w:val="single" w:color="auto" w:sz="4" w:space="0"/>
              <w:bottom w:val="single" w:color="auto" w:sz="4" w:space="0"/>
              <w:right w:val="single" w:color="auto" w:sz="4" w:space="0"/>
            </w:tcBorders>
            <w:vAlign w:val="top"/>
          </w:tcPr>
          <w:p>
            <w:pPr>
              <w:jc w:val="center"/>
              <w:rPr>
                <w:rFonts w:ascii="仿宋_GB2312" w:eastAsia="仿宋_GB2312"/>
                <w:b/>
                <w:bCs/>
                <w:sz w:val="28"/>
                <w:szCs w:val="28"/>
              </w:rPr>
            </w:pPr>
            <w:r>
              <w:rPr>
                <w:rFonts w:hint="eastAsia" w:ascii="仿宋_GB2312" w:eastAsia="仿宋_GB2312"/>
                <w:b/>
                <w:bCs/>
                <w:sz w:val="28"/>
                <w:szCs w:val="28"/>
              </w:rPr>
              <w:t>出厂时间</w:t>
            </w:r>
          </w:p>
        </w:tc>
        <w:tc>
          <w:tcPr>
            <w:tcW w:w="2183" w:type="dxa"/>
            <w:tcBorders>
              <w:top w:val="single" w:color="auto" w:sz="4" w:space="0"/>
              <w:left w:val="nil"/>
              <w:bottom w:val="single" w:color="auto" w:sz="4" w:space="0"/>
              <w:right w:val="single" w:color="auto" w:sz="4" w:space="0"/>
            </w:tcBorders>
            <w:vAlign w:val="top"/>
          </w:tcPr>
          <w:p>
            <w:pPr>
              <w:ind w:firstLine="560" w:firstLineChars="200"/>
              <w:rPr>
                <w:rFonts w:ascii="仿宋_GB2312" w:eastAsia="仿宋_GB2312"/>
                <w:sz w:val="28"/>
                <w:szCs w:val="28"/>
              </w:rPr>
            </w:pPr>
          </w:p>
        </w:tc>
        <w:tc>
          <w:tcPr>
            <w:tcW w:w="2467" w:type="dxa"/>
            <w:tcBorders>
              <w:top w:val="single" w:color="auto" w:sz="4" w:space="0"/>
              <w:left w:val="nil"/>
              <w:bottom w:val="single" w:color="auto" w:sz="4" w:space="0"/>
              <w:right w:val="single" w:color="auto" w:sz="4" w:space="0"/>
            </w:tcBorders>
            <w:vAlign w:val="top"/>
          </w:tcPr>
          <w:p>
            <w:pPr>
              <w:ind w:firstLine="551" w:firstLineChars="196"/>
              <w:rPr>
                <w:rFonts w:ascii="仿宋_GB2312" w:eastAsia="仿宋_GB2312"/>
                <w:b/>
                <w:bCs/>
                <w:sz w:val="28"/>
                <w:szCs w:val="28"/>
              </w:rPr>
            </w:pPr>
            <w:r>
              <w:rPr>
                <w:rFonts w:hint="eastAsia" w:ascii="仿宋_GB2312" w:eastAsia="仿宋_GB2312"/>
                <w:b/>
                <w:bCs/>
                <w:sz w:val="28"/>
                <w:szCs w:val="28"/>
              </w:rPr>
              <w:t>车身颜色</w:t>
            </w:r>
          </w:p>
        </w:tc>
        <w:tc>
          <w:tcPr>
            <w:tcW w:w="2716" w:type="dxa"/>
            <w:tcBorders>
              <w:top w:val="single" w:color="auto" w:sz="4" w:space="0"/>
              <w:left w:val="nil"/>
              <w:bottom w:val="single" w:color="auto" w:sz="4" w:space="0"/>
              <w:right w:val="single" w:color="auto" w:sz="4" w:space="0"/>
            </w:tcBorders>
            <w:vAlign w:val="top"/>
          </w:tcPr>
          <w:p>
            <w:pPr>
              <w:rPr>
                <w:rFonts w:ascii="仿宋_GB2312" w:eastAsia="仿宋_GB2312"/>
                <w:sz w:val="28"/>
                <w:szCs w:val="28"/>
              </w:rPr>
            </w:pPr>
            <w:r>
              <w:rPr>
                <w:rFonts w:hint="eastAsia" w:ascii="仿宋_GB2312" w:eastAsia="仿宋_GB2312"/>
                <w:sz w:val="28"/>
                <w:szCs w:val="28"/>
              </w:rPr>
              <w:t xml:space="preserve">    </w:t>
            </w:r>
          </w:p>
        </w:tc>
      </w:tr>
      <w:tr>
        <w:tblPrEx>
          <w:tblLayout w:type="fixed"/>
          <w:tblCellMar>
            <w:top w:w="0" w:type="dxa"/>
            <w:left w:w="108" w:type="dxa"/>
            <w:bottom w:w="0" w:type="dxa"/>
            <w:right w:w="108" w:type="dxa"/>
          </w:tblCellMar>
        </w:tblPrEx>
        <w:trPr>
          <w:trHeight w:val="438" w:hRule="atLeast"/>
        </w:trPr>
        <w:tc>
          <w:tcPr>
            <w:tcW w:w="2300" w:type="dxa"/>
            <w:tcBorders>
              <w:top w:val="single" w:color="auto" w:sz="4" w:space="0"/>
              <w:left w:val="single" w:color="auto" w:sz="4" w:space="0"/>
              <w:bottom w:val="single" w:color="auto" w:sz="4" w:space="0"/>
              <w:right w:val="single" w:color="auto" w:sz="4" w:space="0"/>
            </w:tcBorders>
            <w:vAlign w:val="top"/>
          </w:tcPr>
          <w:p>
            <w:pPr>
              <w:jc w:val="center"/>
              <w:rPr>
                <w:rFonts w:ascii="仿宋_GB2312" w:eastAsia="仿宋_GB2312"/>
                <w:b/>
                <w:bCs/>
                <w:sz w:val="28"/>
                <w:szCs w:val="28"/>
              </w:rPr>
            </w:pPr>
            <w:r>
              <w:rPr>
                <w:rFonts w:hint="eastAsia" w:ascii="仿宋_GB2312" w:eastAsia="仿宋_GB2312"/>
                <w:b/>
                <w:bCs/>
                <w:sz w:val="28"/>
                <w:szCs w:val="28"/>
              </w:rPr>
              <w:t>裸车价</w:t>
            </w:r>
          </w:p>
        </w:tc>
        <w:tc>
          <w:tcPr>
            <w:tcW w:w="2183" w:type="dxa"/>
            <w:tcBorders>
              <w:top w:val="single" w:color="auto" w:sz="4" w:space="0"/>
              <w:left w:val="nil"/>
              <w:bottom w:val="single" w:color="auto" w:sz="4" w:space="0"/>
              <w:right w:val="single" w:color="auto" w:sz="4" w:space="0"/>
            </w:tcBorders>
            <w:vAlign w:val="top"/>
          </w:tcPr>
          <w:p>
            <w:pPr>
              <w:rPr>
                <w:rFonts w:ascii="仿宋_GB2312" w:eastAsia="仿宋_GB2312"/>
                <w:sz w:val="28"/>
                <w:szCs w:val="28"/>
              </w:rPr>
            </w:pPr>
          </w:p>
        </w:tc>
        <w:tc>
          <w:tcPr>
            <w:tcW w:w="2467" w:type="dxa"/>
            <w:tcBorders>
              <w:top w:val="single" w:color="auto" w:sz="4" w:space="0"/>
              <w:left w:val="nil"/>
              <w:bottom w:val="single" w:color="auto" w:sz="4" w:space="0"/>
              <w:right w:val="single" w:color="auto" w:sz="4" w:space="0"/>
            </w:tcBorders>
            <w:vAlign w:val="top"/>
          </w:tcPr>
          <w:p>
            <w:pPr>
              <w:rPr>
                <w:rFonts w:ascii="仿宋_GB2312" w:eastAsia="仿宋_GB2312"/>
                <w:b/>
                <w:bCs/>
                <w:sz w:val="28"/>
                <w:szCs w:val="28"/>
              </w:rPr>
            </w:pPr>
            <w:r>
              <w:rPr>
                <w:rFonts w:hint="eastAsia" w:ascii="仿宋_GB2312" w:eastAsia="仿宋_GB2312"/>
                <w:b/>
                <w:bCs/>
                <w:sz w:val="28"/>
                <w:szCs w:val="28"/>
              </w:rPr>
              <w:t xml:space="preserve">    内饰颜色</w:t>
            </w:r>
          </w:p>
        </w:tc>
        <w:tc>
          <w:tcPr>
            <w:tcW w:w="2716" w:type="dxa"/>
            <w:tcBorders>
              <w:top w:val="single" w:color="auto" w:sz="4" w:space="0"/>
              <w:left w:val="nil"/>
              <w:bottom w:val="single" w:color="auto" w:sz="4" w:space="0"/>
              <w:right w:val="single" w:color="auto" w:sz="4" w:space="0"/>
            </w:tcBorders>
            <w:vAlign w:val="top"/>
          </w:tcPr>
          <w:p>
            <w:pPr>
              <w:rPr>
                <w:rFonts w:ascii="仿宋_GB2312" w:eastAsia="仿宋_GB2312"/>
                <w:sz w:val="28"/>
                <w:szCs w:val="28"/>
              </w:rPr>
            </w:pPr>
          </w:p>
        </w:tc>
      </w:tr>
      <w:tr>
        <w:tblPrEx>
          <w:tblLayout w:type="fixed"/>
          <w:tblCellMar>
            <w:top w:w="0" w:type="dxa"/>
            <w:left w:w="108" w:type="dxa"/>
            <w:bottom w:w="0" w:type="dxa"/>
            <w:right w:w="108" w:type="dxa"/>
          </w:tblCellMar>
        </w:tblPrEx>
        <w:trPr>
          <w:trHeight w:val="463" w:hRule="atLeast"/>
        </w:trPr>
        <w:tc>
          <w:tcPr>
            <w:tcW w:w="2300" w:type="dxa"/>
            <w:tcBorders>
              <w:top w:val="single" w:color="auto" w:sz="4" w:space="0"/>
              <w:left w:val="single" w:color="auto" w:sz="4" w:space="0"/>
              <w:bottom w:val="single" w:color="auto" w:sz="4" w:space="0"/>
              <w:right w:val="single" w:color="auto" w:sz="4" w:space="0"/>
            </w:tcBorders>
            <w:vAlign w:val="top"/>
          </w:tcPr>
          <w:p>
            <w:pPr>
              <w:ind w:firstLine="281" w:firstLineChars="100"/>
              <w:rPr>
                <w:rFonts w:ascii="仿宋_GB2312" w:eastAsia="仿宋_GB2312"/>
                <w:b/>
                <w:bCs/>
                <w:sz w:val="28"/>
                <w:szCs w:val="28"/>
              </w:rPr>
            </w:pPr>
            <w:r>
              <w:rPr>
                <w:rFonts w:hint="eastAsia" w:ascii="仿宋_GB2312" w:eastAsia="仿宋_GB2312"/>
                <w:b/>
                <w:bCs/>
                <w:sz w:val="28"/>
                <w:szCs w:val="28"/>
              </w:rPr>
              <w:t xml:space="preserve">  购置费</w:t>
            </w:r>
          </w:p>
        </w:tc>
        <w:tc>
          <w:tcPr>
            <w:tcW w:w="7366" w:type="dxa"/>
            <w:gridSpan w:val="3"/>
            <w:tcBorders>
              <w:top w:val="single" w:color="auto" w:sz="4" w:space="0"/>
              <w:left w:val="nil"/>
              <w:bottom w:val="single" w:color="auto" w:sz="4" w:space="0"/>
              <w:right w:val="single" w:color="auto" w:sz="4" w:space="0"/>
            </w:tcBorders>
            <w:vAlign w:val="top"/>
          </w:tcPr>
          <w:p>
            <w:pPr>
              <w:rPr>
                <w:rFonts w:ascii="仿宋_GB2312" w:eastAsia="仿宋_GB2312"/>
                <w:sz w:val="28"/>
                <w:szCs w:val="28"/>
              </w:rPr>
            </w:pPr>
          </w:p>
        </w:tc>
      </w:tr>
      <w:tr>
        <w:tblPrEx>
          <w:tblLayout w:type="fixed"/>
          <w:tblCellMar>
            <w:top w:w="0" w:type="dxa"/>
            <w:left w:w="108" w:type="dxa"/>
            <w:bottom w:w="0" w:type="dxa"/>
            <w:right w:w="108" w:type="dxa"/>
          </w:tblCellMar>
        </w:tblPrEx>
        <w:trPr>
          <w:trHeight w:val="463" w:hRule="atLeast"/>
        </w:trPr>
        <w:tc>
          <w:tcPr>
            <w:tcW w:w="2300" w:type="dxa"/>
            <w:tcBorders>
              <w:top w:val="single" w:color="auto" w:sz="4" w:space="0"/>
              <w:left w:val="single" w:color="auto" w:sz="4" w:space="0"/>
              <w:bottom w:val="single" w:color="auto" w:sz="4" w:space="0"/>
              <w:right w:val="single" w:color="auto" w:sz="4" w:space="0"/>
            </w:tcBorders>
            <w:vAlign w:val="top"/>
          </w:tcPr>
          <w:p>
            <w:pPr>
              <w:ind w:firstLine="281" w:firstLineChars="100"/>
              <w:rPr>
                <w:rFonts w:ascii="仿宋_GB2312" w:eastAsia="仿宋_GB2312"/>
                <w:b/>
                <w:bCs/>
                <w:sz w:val="28"/>
                <w:szCs w:val="28"/>
              </w:rPr>
            </w:pPr>
            <w:r>
              <w:rPr>
                <w:rFonts w:hint="eastAsia" w:ascii="仿宋_GB2312" w:eastAsia="仿宋_GB2312"/>
                <w:b/>
                <w:bCs/>
                <w:sz w:val="28"/>
                <w:szCs w:val="28"/>
              </w:rPr>
              <w:t xml:space="preserve"> 最终总价</w:t>
            </w:r>
          </w:p>
        </w:tc>
        <w:tc>
          <w:tcPr>
            <w:tcW w:w="7366" w:type="dxa"/>
            <w:gridSpan w:val="3"/>
            <w:tcBorders>
              <w:top w:val="single" w:color="auto" w:sz="4" w:space="0"/>
              <w:left w:val="nil"/>
              <w:bottom w:val="single" w:color="auto" w:sz="4" w:space="0"/>
              <w:right w:val="single" w:color="auto" w:sz="4" w:space="0"/>
            </w:tcBorders>
            <w:vAlign w:val="top"/>
          </w:tcPr>
          <w:p>
            <w:pPr>
              <w:rPr>
                <w:rFonts w:ascii="仿宋_GB2312" w:eastAsia="仿宋_GB2312"/>
                <w:sz w:val="28"/>
                <w:szCs w:val="28"/>
              </w:rPr>
            </w:pPr>
          </w:p>
        </w:tc>
      </w:tr>
      <w:tr>
        <w:tblPrEx>
          <w:tblLayout w:type="fixed"/>
          <w:tblCellMar>
            <w:top w:w="0" w:type="dxa"/>
            <w:left w:w="108" w:type="dxa"/>
            <w:bottom w:w="0" w:type="dxa"/>
            <w:right w:w="108" w:type="dxa"/>
          </w:tblCellMar>
        </w:tblPrEx>
        <w:trPr>
          <w:trHeight w:val="463" w:hRule="atLeast"/>
        </w:trPr>
        <w:tc>
          <w:tcPr>
            <w:tcW w:w="2300"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bCs/>
                <w:sz w:val="28"/>
                <w:szCs w:val="28"/>
              </w:rPr>
            </w:pPr>
            <w:r>
              <w:rPr>
                <w:rFonts w:hint="eastAsia" w:ascii="仿宋_GB2312" w:eastAsia="仿宋_GB2312"/>
                <w:b/>
                <w:bCs/>
                <w:sz w:val="28"/>
                <w:szCs w:val="28"/>
              </w:rPr>
              <w:t xml:space="preserve">     备注</w:t>
            </w:r>
          </w:p>
        </w:tc>
        <w:tc>
          <w:tcPr>
            <w:tcW w:w="7366" w:type="dxa"/>
            <w:gridSpan w:val="3"/>
            <w:tcBorders>
              <w:top w:val="single" w:color="auto" w:sz="4" w:space="0"/>
              <w:left w:val="nil"/>
              <w:bottom w:val="single" w:color="auto" w:sz="4" w:space="0"/>
              <w:right w:val="single" w:color="auto" w:sz="4" w:space="0"/>
            </w:tcBorders>
            <w:vAlign w:val="top"/>
          </w:tcPr>
          <w:p>
            <w:pPr>
              <w:rPr>
                <w:rFonts w:ascii="仿宋_GB2312" w:eastAsia="仿宋_GB2312"/>
                <w:sz w:val="28"/>
                <w:szCs w:val="28"/>
              </w:rPr>
            </w:pPr>
          </w:p>
        </w:tc>
      </w:tr>
    </w:tbl>
    <w:p>
      <w:pPr>
        <w:pStyle w:val="10"/>
        <w:ind w:left="514" w:firstLine="0" w:firstLineChars="0"/>
        <w:rPr>
          <w:rFonts w:hint="eastAsia" w:ascii="仿宋_GB2312" w:eastAsia="仿宋_GB2312"/>
          <w:sz w:val="28"/>
          <w:szCs w:val="28"/>
        </w:rPr>
      </w:pPr>
      <w:r>
        <w:rPr>
          <w:rFonts w:hint="eastAsia" w:ascii="仿宋_GB2312" w:hAnsi="黑体" w:eastAsia="仿宋_GB2312"/>
          <w:color w:val="000000"/>
          <w:sz w:val="28"/>
          <w:szCs w:val="28"/>
          <w:shd w:val="clear" w:color="auto" w:fill="FFFFFF"/>
        </w:rPr>
        <w:t>注：在合同有效期限内，若因国家税收政策调整而引起的增值税税率变化的，应按照国家税收政策调整，合同总金额变更为原合同不含增值税货物或劳务价格与调整后税率计算税额的合计金额。</w:t>
      </w:r>
    </w:p>
    <w:p>
      <w:pPr>
        <w:pStyle w:val="10"/>
        <w:ind w:left="514" w:firstLine="0" w:firstLineChars="0"/>
        <w:rPr>
          <w:rFonts w:hint="eastAsia" w:ascii="仿宋_GB2312" w:eastAsia="仿宋_GB2312"/>
          <w:sz w:val="28"/>
          <w:szCs w:val="28"/>
        </w:rPr>
      </w:pPr>
      <w:r>
        <w:rPr>
          <w:rFonts w:hint="eastAsia" w:ascii="仿宋_GB2312" w:eastAsia="仿宋_GB2312"/>
          <w:sz w:val="28"/>
          <w:szCs w:val="28"/>
        </w:rPr>
        <w:t>第二条 质量</w:t>
      </w:r>
    </w:p>
    <w:p>
      <w:pPr>
        <w:numPr>
          <w:ilvl w:val="0"/>
          <w:numId w:val="2"/>
        </w:numPr>
        <w:ind w:left="514"/>
        <w:rPr>
          <w:rFonts w:hint="eastAsia" w:ascii="仿宋_GB2312" w:eastAsia="仿宋_GB2312"/>
          <w:sz w:val="28"/>
          <w:szCs w:val="28"/>
        </w:rPr>
      </w:pPr>
      <w:r>
        <w:rPr>
          <w:rFonts w:hint="eastAsia" w:ascii="仿宋_GB2312" w:eastAsia="仿宋_GB2312"/>
          <w:sz w:val="28"/>
          <w:szCs w:val="28"/>
        </w:rPr>
        <w:t>乙方出售的车辆，为全新车辆，质量应符合国家关于汽车产品的强制性标准，符合车辆销售地政府规定的关于尾气排放的标准。</w:t>
      </w:r>
    </w:p>
    <w:p>
      <w:pPr>
        <w:ind w:left="523" w:leftChars="249"/>
        <w:rPr>
          <w:rFonts w:hint="eastAsia" w:ascii="仿宋_GB2312" w:eastAsia="仿宋_GB2312"/>
          <w:sz w:val="28"/>
          <w:szCs w:val="28"/>
        </w:rPr>
      </w:pPr>
      <w:r>
        <w:rPr>
          <w:rFonts w:hint="eastAsia" w:ascii="仿宋_GB2312" w:eastAsia="仿宋_GB2312"/>
          <w:sz w:val="28"/>
          <w:szCs w:val="28"/>
        </w:rPr>
        <w:t>2.出售的车辆，必须是经国家有关部门公布、备案的汽车产品目录上标明的产品或合法进口的产品，并能通过公安交通管理部门的检测，可以上牌行驶。</w:t>
      </w:r>
    </w:p>
    <w:p>
      <w:pPr>
        <w:ind w:left="523" w:leftChars="249"/>
        <w:rPr>
          <w:rFonts w:hint="eastAsia" w:ascii="仿宋_GB2312" w:eastAsia="仿宋_GB2312"/>
          <w:sz w:val="28"/>
          <w:szCs w:val="28"/>
        </w:rPr>
      </w:pPr>
      <w:r>
        <w:rPr>
          <w:rFonts w:hint="eastAsia" w:ascii="仿宋_GB2312" w:eastAsia="仿宋_GB2312"/>
          <w:sz w:val="28"/>
          <w:szCs w:val="28"/>
        </w:rPr>
        <w:t>3.双方对车辆存在质量问题争议的，以甲方认可的汽车质量监督检测机构出具的书面鉴定意见为处理争议的依据。汽车质量监督检测机构由甲方选定，鉴定费由主张方垫付，由责任方承担。</w:t>
      </w:r>
    </w:p>
    <w:p>
      <w:pPr>
        <w:ind w:left="514"/>
        <w:rPr>
          <w:rFonts w:hint="eastAsia" w:ascii="仿宋_GB2312" w:eastAsia="仿宋_GB2312"/>
          <w:sz w:val="28"/>
          <w:szCs w:val="28"/>
        </w:rPr>
      </w:pPr>
      <w:r>
        <w:rPr>
          <w:rFonts w:hint="eastAsia" w:ascii="仿宋_GB2312" w:eastAsia="仿宋_GB2312"/>
          <w:sz w:val="28"/>
          <w:szCs w:val="28"/>
        </w:rPr>
        <w:t>第三条  付款方式</w:t>
      </w:r>
    </w:p>
    <w:p>
      <w:pPr>
        <w:ind w:firstLine="280" w:firstLineChars="100"/>
        <w:rPr>
          <w:rFonts w:hint="eastAsia" w:ascii="仿宋_GB2312" w:eastAsia="仿宋_GB2312"/>
          <w:sz w:val="28"/>
          <w:szCs w:val="28"/>
        </w:rPr>
      </w:pPr>
      <w:r>
        <w:rPr>
          <w:rFonts w:hint="eastAsia" w:ascii="仿宋_GB2312" w:eastAsia="仿宋_GB2312"/>
          <w:sz w:val="28"/>
          <w:szCs w:val="28"/>
        </w:rPr>
        <w:t xml:space="preserve">  车辆在规定时间内到车后，经甲方验收合格后【10】个工作日内，支付全部货款，乙方提供正规的符合甲方要求的发票，甲方提车。</w:t>
      </w:r>
    </w:p>
    <w:p>
      <w:pPr>
        <w:rPr>
          <w:rFonts w:hint="eastAsia" w:ascii="仿宋_GB2312" w:eastAsia="仿宋_GB2312"/>
          <w:sz w:val="28"/>
          <w:szCs w:val="28"/>
        </w:rPr>
      </w:pPr>
      <w:r>
        <w:rPr>
          <w:rFonts w:hint="eastAsia" w:ascii="仿宋_GB2312" w:eastAsia="仿宋_GB2312"/>
          <w:sz w:val="28"/>
          <w:szCs w:val="28"/>
        </w:rPr>
        <w:t xml:space="preserve">   第四条  交车时间，交付及验收方式</w:t>
      </w:r>
    </w:p>
    <w:p>
      <w:pPr>
        <w:pStyle w:val="10"/>
        <w:numPr>
          <w:ilvl w:val="0"/>
          <w:numId w:val="3"/>
        </w:numPr>
        <w:ind w:firstLineChars="0"/>
        <w:rPr>
          <w:rFonts w:hint="eastAsia" w:ascii="仿宋_GB2312" w:eastAsia="仿宋_GB2312"/>
          <w:sz w:val="28"/>
          <w:szCs w:val="28"/>
        </w:rPr>
      </w:pPr>
      <w:r>
        <w:rPr>
          <w:rFonts w:hint="eastAsia" w:ascii="仿宋_GB2312" w:eastAsia="仿宋_GB2312"/>
          <w:sz w:val="28"/>
          <w:szCs w:val="28"/>
        </w:rPr>
        <w:t>交车时间：</w:t>
      </w:r>
    </w:p>
    <w:p>
      <w:pPr>
        <w:pStyle w:val="10"/>
        <w:numPr>
          <w:ilvl w:val="0"/>
          <w:numId w:val="3"/>
        </w:numPr>
        <w:ind w:firstLineChars="0"/>
        <w:rPr>
          <w:rFonts w:hint="eastAsia" w:ascii="仿宋_GB2312" w:eastAsia="仿宋_GB2312"/>
          <w:sz w:val="28"/>
          <w:szCs w:val="28"/>
        </w:rPr>
      </w:pPr>
      <w:r>
        <w:rPr>
          <w:rFonts w:hint="eastAsia" w:ascii="仿宋_GB2312" w:eastAsia="仿宋_GB2312"/>
          <w:sz w:val="28"/>
          <w:szCs w:val="28"/>
        </w:rPr>
        <w:t>交车方式：</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3.交车时里程表记录：【100万】公里以内（里程表记录不包含委托上牌服务发生的公里数）。</w:t>
      </w:r>
    </w:p>
    <w:p>
      <w:pPr>
        <w:pStyle w:val="10"/>
        <w:ind w:firstLineChars="150"/>
        <w:rPr>
          <w:rFonts w:hint="eastAsia" w:ascii="仿宋_GB2312" w:eastAsia="仿宋_GB2312"/>
          <w:sz w:val="28"/>
          <w:szCs w:val="28"/>
        </w:rPr>
      </w:pPr>
      <w:r>
        <w:rPr>
          <w:rFonts w:hint="eastAsia" w:ascii="仿宋_GB2312" w:eastAsia="仿宋_GB2312"/>
          <w:sz w:val="28"/>
          <w:szCs w:val="28"/>
        </w:rPr>
        <w:t>4.车辆交接当场验收，甲方应对所购车辆外观和基本使用功能等进行认真检查、确认；如对验收项目持有异议，应当场向乙方提出。甲方未在当场提出异议，不视为对乙方提供的车辆质量问题的认可或确认，也不免除应由乙方应承担的质量责任。</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5.甲乙双方应在车辆交接时，签订车辆交接书，即为该车辆正式交付。</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6.车辆正式交付之日起，该车辆的风险责任由乙方转移至甲方。</w:t>
      </w:r>
    </w:p>
    <w:p>
      <w:pPr>
        <w:pStyle w:val="10"/>
        <w:ind w:firstLine="560"/>
        <w:rPr>
          <w:rFonts w:hint="eastAsia" w:ascii="仿宋_GB2312" w:eastAsia="仿宋_GB2312"/>
          <w:sz w:val="28"/>
          <w:szCs w:val="28"/>
        </w:rPr>
      </w:pPr>
      <w:r>
        <w:rPr>
          <w:rFonts w:hint="eastAsia" w:ascii="仿宋_GB2312" w:eastAsia="仿宋_GB2312"/>
          <w:sz w:val="28"/>
          <w:szCs w:val="28"/>
        </w:rPr>
        <w:t>第五条 售后服务</w:t>
      </w:r>
    </w:p>
    <w:p>
      <w:pPr>
        <w:pStyle w:val="10"/>
        <w:ind w:firstLine="640" w:firstLineChars="0"/>
        <w:rPr>
          <w:rFonts w:hint="eastAsia" w:ascii="仿宋_GB2312" w:eastAsia="仿宋_GB2312"/>
          <w:sz w:val="28"/>
          <w:szCs w:val="28"/>
        </w:rPr>
      </w:pPr>
      <w:r>
        <w:rPr>
          <w:rFonts w:hint="eastAsia" w:ascii="仿宋_GB2312" w:eastAsia="仿宋_GB2312"/>
          <w:sz w:val="28"/>
          <w:szCs w:val="28"/>
        </w:rPr>
        <w:t>1.乙方提供【3】年免费质保期或者【10万】公里的免费服务（以【先到者】为准）。</w:t>
      </w:r>
    </w:p>
    <w:p>
      <w:pPr>
        <w:pStyle w:val="10"/>
        <w:ind w:firstLine="640" w:firstLineChars="0"/>
        <w:rPr>
          <w:rFonts w:hint="eastAsia" w:ascii="仿宋_GB2312" w:eastAsia="仿宋_GB2312"/>
          <w:sz w:val="28"/>
          <w:szCs w:val="28"/>
        </w:rPr>
      </w:pPr>
      <w:r>
        <w:rPr>
          <w:rFonts w:hint="eastAsia" w:ascii="仿宋_GB2312" w:eastAsia="仿宋_GB2312"/>
          <w:sz w:val="28"/>
          <w:szCs w:val="28"/>
        </w:rPr>
        <w:t>2.在免费质保期内，乙方参照生产厂商关于车辆的说明书和保养手册提供车辆售后服务及保修服务。如厂商未作规定的，参照生产厂出具的保养手册或三包凭证的规定。</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3.在上述保修期内车辆出现质量问题或需要保养，乙方应为甲方提供维修和保养服务。若乙方未按照本合同约定提供维修和保养服务，甲方有权委托第三方提供维修和保养，甲方应向乙方承担该等费用。</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4.乙方应提供车辆说明书、用户使用手册、保养手册、三包凭证等相关资料。由于乙方或第三方人为损坏的或者使用、保养、装潢、改装不当等原因造成的，由乙方应承担合同总额【5%】的违约金。若该等违约金不足以弥补甲方的损失，则甲方有权要求乙方继续承担该等违约责任。</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5.在同等条件下，生产厂商的正式承诺比本合同约定的内容更有利于甲方的，乙方承诺按照生产厂商的承诺执行。</w:t>
      </w:r>
    </w:p>
    <w:p>
      <w:pPr>
        <w:pStyle w:val="10"/>
        <w:ind w:firstLine="640" w:firstLineChars="0"/>
        <w:rPr>
          <w:rFonts w:hint="eastAsia" w:ascii="仿宋_GB2312" w:eastAsia="仿宋_GB2312"/>
          <w:sz w:val="28"/>
          <w:szCs w:val="28"/>
        </w:rPr>
      </w:pPr>
      <w:r>
        <w:rPr>
          <w:rFonts w:hint="eastAsia" w:ascii="仿宋_GB2312" w:eastAsia="仿宋_GB2312"/>
          <w:sz w:val="28"/>
          <w:szCs w:val="28"/>
        </w:rPr>
        <w:t>6.甲方接收车辆后，应在规定时间内完成车辆保险、附加费、上牌等相关手续，及时缴纳税费。</w:t>
      </w:r>
    </w:p>
    <w:p>
      <w:pPr>
        <w:pStyle w:val="10"/>
        <w:numPr>
          <w:ilvl w:val="0"/>
          <w:numId w:val="4"/>
        </w:numPr>
        <w:ind w:firstLine="560"/>
        <w:rPr>
          <w:rFonts w:hint="eastAsia" w:ascii="仿宋_GB2312" w:eastAsia="仿宋_GB2312"/>
          <w:sz w:val="28"/>
          <w:szCs w:val="28"/>
        </w:rPr>
      </w:pPr>
      <w:r>
        <w:rPr>
          <w:rFonts w:hint="eastAsia" w:ascii="仿宋_GB2312" w:eastAsia="仿宋_GB2312"/>
          <w:sz w:val="28"/>
          <w:szCs w:val="28"/>
        </w:rPr>
        <w:t>违约责任</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1.乙方未按时交付车辆的，每逾期一日，应向甲方支付违约金；违约金从逾期交付车辆之日起至实际交付日止按合同总价的【万分之五】计算。逾期交付车辆超过【30】天的，甲方有权解除合同，乙方须向甲方支付合同解除违约金【2000】元。</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2.甲方未按约定支付【车价款】（选择确定是否包含购置税）的，应向乙方支付违约金，违约金从逾期付款之日起至实际付清之日止按应付款项的【万分之五】计算。逾期付款超过【30】天的，乙方有权解除本合同。</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3.甲方在使用后就车辆质量问题与乙方发生争议纠纷的，经具有法定资质的汽车检验机构鉴定，车辆确实存在设计、制造缺陷等车辆本身原因造成的，由此缺陷造成的人事和财产损害，甲方有权选择要求乙方或生产厂商赔偿。若甲方要求乙方承担该等违约责任，则乙方应按照甲方的实际损失承担该等违约责任。</w:t>
      </w:r>
    </w:p>
    <w:p>
      <w:pPr>
        <w:pStyle w:val="10"/>
        <w:numPr>
          <w:ilvl w:val="0"/>
          <w:numId w:val="5"/>
        </w:numPr>
        <w:ind w:firstLine="560"/>
        <w:rPr>
          <w:rFonts w:hint="eastAsia" w:ascii="仿宋_GB2312" w:eastAsia="仿宋_GB2312"/>
          <w:sz w:val="28"/>
          <w:szCs w:val="28"/>
          <w:u w:val="single" w:color="FFFFFF"/>
        </w:rPr>
      </w:pPr>
      <w:r>
        <w:rPr>
          <w:rFonts w:hint="eastAsia" w:ascii="仿宋_GB2312" w:eastAsia="仿宋_GB2312"/>
          <w:sz w:val="28"/>
          <w:szCs w:val="28"/>
        </w:rPr>
        <w:t>一方无正当理由单方解除合同的，应按</w:t>
      </w:r>
      <w:r>
        <w:rPr>
          <w:rFonts w:hint="eastAsia" w:ascii="仿宋_GB2312" w:eastAsia="仿宋_GB2312"/>
          <w:sz w:val="28"/>
          <w:szCs w:val="28"/>
          <w:u w:val="single" w:color="FFFFFF"/>
        </w:rPr>
        <w:t>【车款百分之二】的标准向对方支付违约金。</w:t>
      </w:r>
    </w:p>
    <w:p>
      <w:pPr>
        <w:adjustRightInd w:val="0"/>
        <w:snapToGrid w:val="0"/>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5.质保期内由于非甲方原因发生的故障或损坏，乙方免费提供维修和备件直至货物性能、状态等达到正常标准，可以正常安全使用为止。如无法修复，乙方应负责免费更换或由甲方退还乙方所供车辆，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6.乙方不在约定期限内派人维修或维修质量验收不合格的，甲方可以委托他人修理，费用由乙方承担。</w:t>
      </w:r>
    </w:p>
    <w:p>
      <w:pPr>
        <w:adjustRightInd w:val="0"/>
        <w:snapToGrid w:val="0"/>
        <w:spacing w:line="560" w:lineRule="exact"/>
        <w:ind w:firstLine="560" w:firstLineChars="200"/>
        <w:rPr>
          <w:rFonts w:hint="eastAsia" w:ascii="仿宋_GB2312" w:eastAsia="仿宋_GB2312"/>
          <w:sz w:val="28"/>
          <w:szCs w:val="28"/>
          <w:u w:val="single" w:color="FFFFFF"/>
        </w:rPr>
      </w:pPr>
      <w:r>
        <w:rPr>
          <w:rFonts w:hint="eastAsia" w:ascii="仿宋_GB2312" w:hAnsi="仿宋" w:eastAsia="仿宋_GB2312"/>
          <w:sz w:val="28"/>
          <w:szCs w:val="28"/>
        </w:rPr>
        <w:t>7．除本合同另有规定外，乙方违反其在本合同项下其他义务并给甲方造成损失的，须向甲方承担全部赔偿责任。</w:t>
      </w:r>
    </w:p>
    <w:p>
      <w:pPr>
        <w:pStyle w:val="10"/>
        <w:ind w:firstLine="560"/>
        <w:rPr>
          <w:rFonts w:hint="eastAsia" w:ascii="仿宋_GB2312" w:eastAsia="仿宋_GB2312"/>
          <w:sz w:val="28"/>
          <w:szCs w:val="28"/>
        </w:rPr>
      </w:pPr>
      <w:r>
        <w:rPr>
          <w:rFonts w:hint="eastAsia" w:ascii="仿宋_GB2312" w:eastAsia="仿宋_GB2312"/>
          <w:sz w:val="28"/>
          <w:szCs w:val="28"/>
        </w:rPr>
        <w:t>第七条 不可抗力</w:t>
      </w:r>
    </w:p>
    <w:p>
      <w:pPr>
        <w:rPr>
          <w:rFonts w:hint="eastAsia" w:ascii="仿宋_GB2312" w:eastAsia="仿宋_GB2312"/>
          <w:sz w:val="28"/>
          <w:szCs w:val="28"/>
        </w:rPr>
      </w:pPr>
      <w:r>
        <w:rPr>
          <w:rFonts w:hint="eastAsia" w:ascii="仿宋_GB2312" w:eastAsia="仿宋_GB2312"/>
          <w:sz w:val="28"/>
          <w:szCs w:val="28"/>
        </w:rPr>
        <w:t xml:space="preserve">    任何乙方遇到以下不可抗力：自然灾害如水灾、风灾、暴风雪、地震等恶劣灾情；社会动乱、政府禁令或重大事故造成的部分或全部不能履行的，不承担违约责任。</w:t>
      </w:r>
    </w:p>
    <w:p>
      <w:pPr>
        <w:rPr>
          <w:rFonts w:hint="eastAsia" w:ascii="仿宋_GB2312" w:eastAsia="仿宋_GB2312"/>
          <w:sz w:val="28"/>
          <w:szCs w:val="28"/>
        </w:rPr>
      </w:pPr>
      <w:r>
        <w:rPr>
          <w:rFonts w:hint="eastAsia" w:ascii="仿宋_GB2312" w:eastAsia="仿宋_GB2312"/>
          <w:sz w:val="28"/>
          <w:szCs w:val="28"/>
        </w:rPr>
        <w:t xml:space="preserve">    遇有不可抗力的一方，应在【三】日内将事件的情况以信件、电子邮件等书面形式通知另一方，并在事件发生【十】日内，向另一方提交合同不能履行或部分不能履行或需要延期履行理由的说明。</w:t>
      </w:r>
    </w:p>
    <w:p>
      <w:pPr>
        <w:ind w:firstLine="560" w:firstLineChars="200"/>
        <w:rPr>
          <w:rFonts w:hint="eastAsia" w:ascii="仿宋_GB2312" w:eastAsia="仿宋_GB2312"/>
          <w:sz w:val="28"/>
          <w:szCs w:val="28"/>
        </w:rPr>
      </w:pPr>
      <w:r>
        <w:rPr>
          <w:rFonts w:hint="eastAsia" w:ascii="仿宋_GB2312" w:eastAsia="仿宋_GB2312"/>
          <w:sz w:val="28"/>
          <w:szCs w:val="28"/>
        </w:rPr>
        <w:t>第八条 解决争议的方法</w:t>
      </w:r>
    </w:p>
    <w:p>
      <w:pPr>
        <w:rPr>
          <w:rFonts w:hint="eastAsia" w:ascii="仿宋_GB2312" w:eastAsia="仿宋_GB2312"/>
          <w:sz w:val="28"/>
          <w:szCs w:val="28"/>
        </w:rPr>
      </w:pPr>
      <w:r>
        <w:rPr>
          <w:rFonts w:hint="eastAsia" w:ascii="仿宋_GB2312" w:eastAsia="仿宋_GB2312"/>
          <w:sz w:val="28"/>
          <w:szCs w:val="28"/>
        </w:rPr>
        <w:t xml:space="preserve">    本合同项下发生的争议，双方应协商解决；协商不成的，向甲方住所地有管辖权的人民法院提起诉讼解决。</w:t>
      </w:r>
    </w:p>
    <w:p>
      <w:pPr>
        <w:rPr>
          <w:rFonts w:hint="eastAsia" w:ascii="仿宋_GB2312" w:eastAsia="仿宋_GB2312"/>
          <w:sz w:val="28"/>
          <w:szCs w:val="28"/>
        </w:rPr>
      </w:pPr>
      <w:r>
        <w:rPr>
          <w:rFonts w:hint="eastAsia" w:ascii="仿宋_GB2312" w:eastAsia="仿宋_GB2312"/>
          <w:sz w:val="28"/>
          <w:szCs w:val="28"/>
        </w:rPr>
        <w:t xml:space="preserve">    第九条 其他约定</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1.未尽事宜，双方应通过订立补充条款或补充协议进行约定。专用车买卖可另附附件。补充条款、补充协议、附件及公开承诺等均为本合同的组成部分。</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2.其他约定：</w:t>
      </w:r>
      <w:r>
        <w:rPr>
          <w:rFonts w:hint="eastAsia" w:ascii="仿宋_GB2312" w:eastAsia="仿宋_GB2312"/>
          <w:sz w:val="28"/>
          <w:szCs w:val="28"/>
          <w:u w:val="single"/>
        </w:rPr>
        <w:t xml:space="preserve">                                                                              </w:t>
      </w:r>
    </w:p>
    <w:p>
      <w:pPr>
        <w:rPr>
          <w:rFonts w:hint="eastAsia" w:ascii="仿宋_GB2312" w:eastAsia="仿宋_GB2312"/>
          <w:sz w:val="28"/>
          <w:szCs w:val="28"/>
          <w:u w:val="single"/>
        </w:rPr>
      </w:pPr>
      <w:r>
        <w:rPr>
          <w:rFonts w:hint="eastAsia" w:ascii="仿宋_GB2312" w:eastAsia="仿宋_GB2312"/>
          <w:sz w:val="28"/>
          <w:szCs w:val="28"/>
          <w:u w:val="single"/>
        </w:rPr>
        <w:t xml:space="preserve">                                                                                 </w:t>
      </w:r>
    </w:p>
    <w:p>
      <w:pPr>
        <w:rPr>
          <w:rFonts w:hint="eastAsia" w:ascii="仿宋_GB2312" w:eastAsia="仿宋_GB2312"/>
          <w:sz w:val="28"/>
          <w:szCs w:val="28"/>
        </w:rPr>
      </w:pPr>
      <w:r>
        <w:rPr>
          <w:rFonts w:hint="eastAsia" w:ascii="仿宋_GB2312" w:eastAsia="仿宋_GB2312"/>
          <w:sz w:val="28"/>
          <w:szCs w:val="28"/>
          <w:u w:val="single"/>
        </w:rPr>
        <w:t xml:space="preserve">                                                                               </w:t>
      </w:r>
    </w:p>
    <w:p>
      <w:pPr>
        <w:pStyle w:val="10"/>
        <w:ind w:firstLine="560"/>
        <w:rPr>
          <w:rFonts w:hint="eastAsia" w:ascii="仿宋_GB2312" w:eastAsia="仿宋_GB2312"/>
          <w:sz w:val="28"/>
          <w:szCs w:val="28"/>
        </w:rPr>
      </w:pPr>
      <w:r>
        <w:rPr>
          <w:rFonts w:hint="eastAsia" w:ascii="仿宋_GB2312" w:eastAsia="仿宋_GB2312"/>
          <w:sz w:val="28"/>
          <w:szCs w:val="28"/>
        </w:rPr>
        <w:t>3.本合同自双方签字且加盖公章或者合同章之日起生效。本合同一式肆份，甲执叁份，乙执壹份，具有同等法律效力。</w:t>
      </w:r>
    </w:p>
    <w:p>
      <w:pPr>
        <w:pStyle w:val="10"/>
        <w:ind w:left="1200" w:firstLine="0" w:firstLineChars="0"/>
        <w:rPr>
          <w:rFonts w:hint="eastAsia" w:ascii="仿宋_GB2312" w:eastAsia="仿宋_GB2312"/>
          <w:sz w:val="28"/>
          <w:szCs w:val="28"/>
        </w:rPr>
      </w:pPr>
      <w:r>
        <w:rPr>
          <w:rFonts w:hint="eastAsia" w:ascii="仿宋_GB2312" w:eastAsia="仿宋_GB2312"/>
          <w:sz w:val="28"/>
          <w:szCs w:val="28"/>
        </w:rPr>
        <w:t xml:space="preserve"> </w:t>
      </w:r>
    </w:p>
    <w:p>
      <w:pPr>
        <w:pStyle w:val="10"/>
        <w:ind w:left="1200" w:firstLine="0" w:firstLineChars="0"/>
        <w:rPr>
          <w:rFonts w:hint="eastAsia" w:ascii="仿宋_GB2312" w:eastAsia="仿宋_GB2312"/>
          <w:sz w:val="28"/>
          <w:szCs w:val="28"/>
        </w:rPr>
      </w:pPr>
      <w:r>
        <w:rPr>
          <w:rFonts w:hint="eastAsia" w:ascii="仿宋_GB2312" w:eastAsia="仿宋_GB2312"/>
          <w:sz w:val="28"/>
          <w:szCs w:val="28"/>
        </w:rPr>
        <w:t xml:space="preserve"> </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w:t>
      </w:r>
    </w:p>
    <w:p>
      <w:pPr>
        <w:pStyle w:val="10"/>
        <w:ind w:left="1200" w:firstLine="0" w:firstLineChars="0"/>
        <w:rPr>
          <w:rFonts w:hint="eastAsia" w:ascii="仿宋_GB2312" w:eastAsia="仿宋_GB2312"/>
          <w:sz w:val="28"/>
          <w:szCs w:val="28"/>
        </w:rPr>
      </w:pPr>
      <w:r>
        <w:rPr>
          <w:rFonts w:hint="eastAsia" w:ascii="仿宋_GB2312" w:eastAsia="仿宋_GB2312"/>
          <w:sz w:val="28"/>
          <w:szCs w:val="28"/>
        </w:rPr>
        <w:t xml:space="preserve"> </w:t>
      </w:r>
    </w:p>
    <w:p>
      <w:pPr>
        <w:pStyle w:val="10"/>
        <w:ind w:firstLine="0" w:firstLineChars="0"/>
        <w:rPr>
          <w:rFonts w:hint="eastAsia" w:ascii="仿宋_GB2312" w:eastAsia="仿宋_GB2312"/>
          <w:sz w:val="28"/>
          <w:szCs w:val="28"/>
        </w:rPr>
      </w:pPr>
      <w:r>
        <w:rPr>
          <w:rFonts w:hint="eastAsia" w:ascii="仿宋_GB2312" w:eastAsia="仿宋_GB2312"/>
          <w:sz w:val="28"/>
          <w:szCs w:val="28"/>
        </w:rPr>
        <w:t>（以下为签署页）</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rPr>
        <w:t>甲方：（章）                     乙方：（章）</w:t>
      </w:r>
    </w:p>
    <w:p>
      <w:pPr>
        <w:rPr>
          <w:rFonts w:hint="eastAsia" w:ascii="仿宋_GB2312" w:eastAsia="仿宋_GB2312"/>
          <w:sz w:val="28"/>
          <w:szCs w:val="28"/>
        </w:rPr>
      </w:pPr>
      <w:r>
        <w:rPr>
          <w:rFonts w:hint="eastAsia" w:ascii="仿宋_GB2312" w:eastAsia="仿宋_GB2312"/>
          <w:sz w:val="28"/>
          <w:szCs w:val="28"/>
        </w:rPr>
        <w:t>地址：                          地址：</w:t>
      </w:r>
    </w:p>
    <w:p>
      <w:pPr>
        <w:rPr>
          <w:rFonts w:hint="eastAsia" w:ascii="仿宋_GB2312" w:eastAsia="仿宋_GB2312"/>
          <w:sz w:val="28"/>
          <w:szCs w:val="28"/>
        </w:rPr>
      </w:pP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rPr>
        <w:t>法定代表人：                    法定代表人：</w:t>
      </w:r>
    </w:p>
    <w:p>
      <w:pPr>
        <w:rPr>
          <w:rFonts w:hint="eastAsia" w:ascii="仿宋_GB2312" w:eastAsia="仿宋_GB2312"/>
          <w:sz w:val="28"/>
          <w:szCs w:val="28"/>
        </w:rPr>
      </w:pPr>
      <w:r>
        <w:rPr>
          <w:rFonts w:hint="eastAsia" w:ascii="仿宋_GB2312" w:eastAsia="仿宋_GB2312"/>
          <w:sz w:val="28"/>
          <w:szCs w:val="28"/>
        </w:rPr>
        <w:t xml:space="preserve">委托代理人：                    委托代理人：                          </w:t>
      </w:r>
    </w:p>
    <w:p>
      <w:pPr>
        <w:rPr>
          <w:rFonts w:hint="eastAsia" w:ascii="仿宋_GB2312" w:eastAsia="仿宋_GB2312"/>
          <w:sz w:val="28"/>
          <w:szCs w:val="28"/>
        </w:rPr>
      </w:pPr>
      <w:r>
        <w:rPr>
          <w:rFonts w:hint="eastAsia" w:ascii="仿宋_GB2312" w:eastAsia="仿宋_GB2312"/>
          <w:sz w:val="28"/>
          <w:szCs w:val="28"/>
        </w:rPr>
        <w:t>联系电话：                      联系电话：</w:t>
      </w:r>
    </w:p>
    <w:p>
      <w:pPr>
        <w:rPr>
          <w:rFonts w:hint="eastAsia" w:ascii="仿宋_GB2312" w:eastAsia="仿宋_GB2312"/>
          <w:sz w:val="28"/>
          <w:szCs w:val="28"/>
        </w:rPr>
      </w:pPr>
      <w:r>
        <w:rPr>
          <w:rFonts w:hint="eastAsia" w:ascii="仿宋_GB2312" w:eastAsia="仿宋_GB2312"/>
          <w:sz w:val="28"/>
          <w:szCs w:val="28"/>
        </w:rPr>
        <w:t>邮政编码：                      邮政编码：</w:t>
      </w:r>
    </w:p>
    <w:p>
      <w:pPr>
        <w:rPr>
          <w:rFonts w:hint="eastAsia" w:ascii="仿宋_GB2312" w:eastAsia="仿宋_GB2312"/>
          <w:sz w:val="28"/>
          <w:szCs w:val="28"/>
        </w:rPr>
      </w:pPr>
      <w:r>
        <w:rPr>
          <w:rFonts w:hint="eastAsia" w:ascii="仿宋_GB2312" w:eastAsia="仿宋_GB2312"/>
          <w:sz w:val="28"/>
          <w:szCs w:val="28"/>
        </w:rPr>
        <w:t xml:space="preserve"> </w:t>
      </w:r>
    </w:p>
    <w:p>
      <w:pPr>
        <w:rPr>
          <w:rFonts w:ascii="仿宋_GB2312" w:eastAsia="仿宋_GB2312"/>
          <w:sz w:val="28"/>
          <w:szCs w:val="28"/>
        </w:rPr>
      </w:pPr>
      <w:r>
        <w:rPr>
          <w:rFonts w:hint="eastAsia" w:ascii="仿宋_GB2312" w:eastAsia="仿宋_GB2312"/>
          <w:sz w:val="28"/>
          <w:szCs w:val="28"/>
        </w:rPr>
        <w:t>签署日期：        年    月    日</w:t>
      </w:r>
    </w:p>
    <w:p>
      <w:pPr>
        <w:rPr>
          <w:rFonts w:hint="eastAsia" w:ascii="仿宋_GB2312" w:eastAsia="仿宋_GB2312"/>
          <w:sz w:val="28"/>
          <w:szCs w:val="28"/>
        </w:rPr>
      </w:pPr>
      <w:r>
        <w:rPr>
          <w:rFonts w:ascii="仿宋_GB2312" w:eastAsia="仿宋_GB2312"/>
          <w:sz w:val="28"/>
          <w:szCs w:val="28"/>
        </w:rPr>
        <w:br w:type="page"/>
      </w:r>
      <w:r>
        <w:rPr>
          <w:rFonts w:hint="eastAsia" w:ascii="仿宋_GB2312" w:eastAsia="仿宋_GB2312"/>
          <w:sz w:val="28"/>
          <w:szCs w:val="28"/>
        </w:rPr>
        <w:t>附件1：</w:t>
      </w:r>
    </w:p>
    <w:p>
      <w:pPr>
        <w:rPr>
          <w:rFonts w:hint="eastAsia" w:ascii="仿宋_GB2312" w:eastAsia="仿宋_GB2312"/>
          <w:sz w:val="28"/>
          <w:szCs w:val="28"/>
        </w:rPr>
      </w:pPr>
      <w:r>
        <w:rPr>
          <w:rFonts w:hint="eastAsia" w:ascii="仿宋_GB2312" w:eastAsia="仿宋_GB2312"/>
          <w:sz w:val="28"/>
          <w:szCs w:val="28"/>
        </w:rPr>
        <w:t xml:space="preserve"> </w:t>
      </w:r>
    </w:p>
    <w:p>
      <w:pPr>
        <w:jc w:val="center"/>
        <w:rPr>
          <w:rFonts w:hint="eastAsia" w:ascii="仿宋_GB2312" w:eastAsia="仿宋_GB2312"/>
          <w:b/>
          <w:bCs/>
          <w:sz w:val="28"/>
          <w:szCs w:val="28"/>
        </w:rPr>
      </w:pPr>
      <w:r>
        <w:rPr>
          <w:rFonts w:hint="eastAsia" w:ascii="仿宋_GB2312" w:eastAsia="仿宋_GB2312"/>
          <w:b/>
          <w:bCs/>
          <w:sz w:val="28"/>
          <w:szCs w:val="28"/>
        </w:rPr>
        <w:t>杭州萧山国际机场有限公司廉洁自律承诺书</w:t>
      </w:r>
    </w:p>
    <w:p>
      <w:pPr>
        <w:rPr>
          <w:rFonts w:hint="eastAsia" w:ascii="仿宋_GB2312" w:eastAsia="仿宋_GB2312"/>
          <w:sz w:val="28"/>
          <w:szCs w:val="28"/>
        </w:rPr>
      </w:pP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rPr>
        <w:t>杭州萧山国际机场有限公司：</w:t>
      </w:r>
    </w:p>
    <w:p>
      <w:pPr>
        <w:rPr>
          <w:rFonts w:hint="eastAsia" w:ascii="仿宋_GB2312" w:eastAsia="仿宋_GB2312"/>
          <w:sz w:val="28"/>
          <w:szCs w:val="28"/>
        </w:rPr>
      </w:pPr>
      <w:r>
        <w:rPr>
          <w:rFonts w:hint="eastAsia" w:ascii="仿宋_GB2312" w:eastAsia="仿宋_GB2312"/>
          <w:sz w:val="28"/>
          <w:szCs w:val="28"/>
        </w:rPr>
        <w:t>我单位响应贵公司项目招标要求，参加项目投标。在投标过程中及中标后，我们将严格遵守国家法律法规和贵司招标文件要求，并郑重作出如下承诺和保证：</w:t>
      </w:r>
    </w:p>
    <w:p>
      <w:pPr>
        <w:rPr>
          <w:rFonts w:hint="eastAsia" w:ascii="仿宋_GB2312" w:eastAsia="仿宋_GB2312"/>
          <w:sz w:val="28"/>
          <w:szCs w:val="28"/>
        </w:rPr>
      </w:pPr>
      <w:r>
        <w:rPr>
          <w:rFonts w:hint="eastAsia" w:ascii="仿宋_GB2312" w:eastAsia="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rPr>
          <w:rFonts w:hint="eastAsia" w:ascii="仿宋_GB2312" w:eastAsia="仿宋_GB2312"/>
          <w:sz w:val="28"/>
          <w:szCs w:val="28"/>
        </w:rPr>
      </w:pPr>
      <w:r>
        <w:rPr>
          <w:rFonts w:hint="eastAsia" w:ascii="仿宋_GB2312" w:eastAsia="仿宋_GB2312"/>
          <w:sz w:val="28"/>
          <w:szCs w:val="28"/>
        </w:rPr>
        <w:t>二、不以任何名义为贵公司有关人员或项目第三方人员报销应由贵公司或个人支付的费用；</w:t>
      </w:r>
    </w:p>
    <w:p>
      <w:pPr>
        <w:rPr>
          <w:rFonts w:hint="eastAsia" w:ascii="仿宋_GB2312" w:eastAsia="仿宋_GB2312"/>
          <w:sz w:val="28"/>
          <w:szCs w:val="28"/>
        </w:rPr>
      </w:pPr>
      <w:r>
        <w:rPr>
          <w:rFonts w:hint="eastAsia" w:ascii="仿宋_GB2312" w:eastAsia="仿宋_GB2312"/>
          <w:sz w:val="28"/>
          <w:szCs w:val="28"/>
        </w:rPr>
        <w:t>三、不向贵公司有关人员或项目第三方人员提供宴请、旅游、和健身娱乐等活动；</w:t>
      </w:r>
    </w:p>
    <w:p>
      <w:pPr>
        <w:rPr>
          <w:rFonts w:hint="eastAsia" w:ascii="仿宋_GB2312" w:eastAsia="仿宋_GB2312"/>
          <w:sz w:val="28"/>
          <w:szCs w:val="28"/>
        </w:rPr>
      </w:pPr>
      <w:r>
        <w:rPr>
          <w:rFonts w:hint="eastAsia" w:ascii="仿宋_GB2312" w:eastAsia="仿宋_GB2312"/>
          <w:sz w:val="28"/>
          <w:szCs w:val="28"/>
        </w:rPr>
        <w:t>四、不为贵公司有关人员或项目第三方人员出国（境）、旅游等提供方便；</w:t>
      </w:r>
    </w:p>
    <w:p>
      <w:pPr>
        <w:rPr>
          <w:rFonts w:hint="eastAsia" w:ascii="仿宋_GB2312" w:eastAsia="仿宋_GB2312"/>
          <w:sz w:val="28"/>
          <w:szCs w:val="28"/>
        </w:rPr>
      </w:pPr>
      <w:r>
        <w:rPr>
          <w:rFonts w:hint="eastAsia" w:ascii="仿宋_GB2312" w:eastAsia="仿宋_GB2312"/>
          <w:sz w:val="28"/>
          <w:szCs w:val="28"/>
        </w:rPr>
        <w:t>五、不为贵公司有关人员或项目第三方人员个人装修住房、婚丧嫁娶、配偶子女工作安排等提供好处或便利条件；</w:t>
      </w:r>
    </w:p>
    <w:p>
      <w:pPr>
        <w:rPr>
          <w:rFonts w:hint="eastAsia" w:ascii="仿宋_GB2312" w:eastAsia="仿宋_GB2312"/>
          <w:sz w:val="28"/>
          <w:szCs w:val="28"/>
        </w:rPr>
      </w:pPr>
      <w:r>
        <w:rPr>
          <w:rFonts w:hint="eastAsia" w:ascii="仿宋_GB2312" w:eastAsia="仿宋_GB2312"/>
          <w:sz w:val="28"/>
          <w:szCs w:val="28"/>
        </w:rPr>
        <w:t>六、严格遵守国家招标投标法、合同法等法律规定，诚实守信，合法经营，坚决杜绝各种违法违纪行为。</w:t>
      </w:r>
    </w:p>
    <w:p>
      <w:pPr>
        <w:rPr>
          <w:rFonts w:hint="eastAsia" w:ascii="仿宋_GB2312" w:eastAsia="仿宋_GB2312"/>
          <w:sz w:val="28"/>
          <w:szCs w:val="28"/>
        </w:rPr>
      </w:pPr>
      <w:r>
        <w:rPr>
          <w:rFonts w:hint="eastAsia" w:ascii="仿宋_GB2312" w:eastAsia="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rPr>
          <w:rFonts w:hint="eastAsia" w:ascii="仿宋_GB2312" w:eastAsia="仿宋_GB2312"/>
          <w:sz w:val="28"/>
          <w:szCs w:val="28"/>
        </w:rPr>
      </w:pPr>
      <w:r>
        <w:rPr>
          <w:rFonts w:hint="eastAsia" w:ascii="仿宋_GB2312" w:eastAsia="仿宋_GB2312"/>
          <w:sz w:val="28"/>
          <w:szCs w:val="28"/>
        </w:rPr>
        <w:t>八、如违反上述廉洁自律承诺，贵公司有权：</w:t>
      </w:r>
    </w:p>
    <w:p>
      <w:pPr>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rPr>
        <w:tab/>
      </w:r>
      <w:r>
        <w:rPr>
          <w:rFonts w:hint="eastAsia" w:ascii="仿宋_GB2312" w:eastAsia="仿宋_GB2312"/>
          <w:sz w:val="28"/>
          <w:szCs w:val="28"/>
        </w:rPr>
        <w:t>立即取消我单位投标、中标或在建项目的实施资格；</w:t>
      </w:r>
    </w:p>
    <w:p>
      <w:pPr>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rPr>
        <w:tab/>
      </w:r>
      <w:r>
        <w:rPr>
          <w:rFonts w:hint="eastAsia" w:ascii="仿宋_GB2312" w:eastAsia="仿宋_GB2312"/>
          <w:sz w:val="28"/>
          <w:szCs w:val="28"/>
        </w:rPr>
        <w:t>扣除我方向贵公司缴纳的履约保证金的10%作为违反廉洁自律承诺的违约金。如该违约金不足以弥补贵公司损失的，我单位仍将承担实际损失赔偿责任。</w:t>
      </w:r>
    </w:p>
    <w:p>
      <w:pPr>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rPr>
        <w:tab/>
      </w:r>
      <w:r>
        <w:rPr>
          <w:rFonts w:hint="eastAsia" w:ascii="仿宋_GB2312" w:eastAsia="仿宋_GB2312"/>
          <w:sz w:val="28"/>
          <w:szCs w:val="28"/>
        </w:rPr>
        <w:t>拒绝我单位在一定时期内进入贵公司进行项目建设或其它经营活动；</w:t>
      </w:r>
    </w:p>
    <w:p>
      <w:pPr>
        <w:rPr>
          <w:rFonts w:hint="eastAsia"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rPr>
        <w:tab/>
      </w:r>
      <w:r>
        <w:rPr>
          <w:rFonts w:hint="eastAsia" w:ascii="仿宋_GB2312" w:eastAsia="仿宋_GB2312"/>
          <w:sz w:val="28"/>
          <w:szCs w:val="28"/>
        </w:rPr>
        <w:t>由此引起的相应损失均由我单位承担。</w:t>
      </w:r>
    </w:p>
    <w:p>
      <w:pPr>
        <w:rPr>
          <w:rFonts w:hint="eastAsia" w:ascii="仿宋_GB2312" w:eastAsia="仿宋_GB2312"/>
          <w:sz w:val="28"/>
          <w:szCs w:val="28"/>
        </w:rPr>
      </w:pP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rPr>
        <w:t xml:space="preserve">承诺人单位名称（盖章）：            </w:t>
      </w:r>
    </w:p>
    <w:p>
      <w:pPr>
        <w:rPr>
          <w:rFonts w:hint="eastAsia" w:ascii="仿宋_GB2312" w:eastAsia="仿宋_GB2312"/>
          <w:sz w:val="28"/>
          <w:szCs w:val="28"/>
        </w:rPr>
      </w:pPr>
      <w:r>
        <w:rPr>
          <w:rFonts w:hint="eastAsia" w:ascii="仿宋_GB2312" w:eastAsia="仿宋_GB2312"/>
          <w:sz w:val="28"/>
          <w:szCs w:val="28"/>
        </w:rPr>
        <w:t xml:space="preserve">法定代表人 ：                    </w:t>
      </w:r>
    </w:p>
    <w:p>
      <w:pPr>
        <w:rPr>
          <w:rFonts w:hint="eastAsia" w:ascii="仿宋_GB2312" w:eastAsia="仿宋_GB2312"/>
          <w:sz w:val="28"/>
          <w:szCs w:val="28"/>
        </w:rPr>
      </w:pPr>
      <w:r>
        <w:rPr>
          <w:rFonts w:hint="eastAsia" w:ascii="仿宋_GB2312" w:eastAsia="仿宋_GB2312"/>
          <w:sz w:val="28"/>
          <w:szCs w:val="28"/>
        </w:rPr>
        <w:t xml:space="preserve">或                            </w:t>
      </w:r>
    </w:p>
    <w:p>
      <w:pPr>
        <w:rPr>
          <w:rFonts w:hint="eastAsia" w:ascii="仿宋_GB2312" w:eastAsia="仿宋_GB2312"/>
          <w:sz w:val="28"/>
          <w:szCs w:val="28"/>
        </w:rPr>
      </w:pPr>
      <w:r>
        <w:rPr>
          <w:rFonts w:hint="eastAsia" w:ascii="仿宋_GB2312" w:eastAsia="仿宋_GB2312"/>
          <w:sz w:val="28"/>
          <w:szCs w:val="28"/>
        </w:rPr>
        <w:t xml:space="preserve">委托代理人：                   </w:t>
      </w:r>
    </w:p>
    <w:p>
      <w:pPr>
        <w:rPr>
          <w:rFonts w:hint="eastAsia" w:ascii="仿宋_GB2312" w:eastAsia="仿宋_GB2312"/>
          <w:sz w:val="28"/>
          <w:szCs w:val="28"/>
        </w:rPr>
      </w:pP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rPr>
        <w:t xml:space="preserve">                           年     月     日</w:t>
      </w:r>
    </w:p>
    <w:p>
      <w:pPr>
        <w:rPr>
          <w:rFonts w:hint="eastAsia" w:ascii="仿宋_GB2312" w:eastAsia="仿宋_GB2312"/>
          <w:sz w:val="28"/>
          <w:szCs w:val="28"/>
        </w:rPr>
      </w:pP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附件2： </w:t>
      </w:r>
    </w:p>
    <w:p>
      <w:pPr>
        <w:spacing w:line="560" w:lineRule="exact"/>
        <w:jc w:val="center"/>
        <w:rPr>
          <w:rFonts w:hint="eastAsia" w:ascii="仿宋_GB2312" w:hAnsi="黑体" w:eastAsia="仿宋_GB2312"/>
          <w:b/>
          <w:bCs/>
          <w:sz w:val="28"/>
          <w:szCs w:val="28"/>
        </w:rPr>
      </w:pPr>
      <w:r>
        <w:rPr>
          <w:rFonts w:hint="eastAsia" w:ascii="仿宋_GB2312" w:hAnsi="黑体" w:eastAsia="仿宋_GB2312"/>
          <w:b/>
          <w:bCs/>
          <w:sz w:val="28"/>
          <w:szCs w:val="28"/>
        </w:rPr>
        <w:t>保密承诺书</w:t>
      </w:r>
    </w:p>
    <w:p>
      <w:pPr>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outlineLvl w:val="0"/>
        <w:rPr>
          <w:rFonts w:hint="eastAsia" w:ascii="仿宋_GB2312" w:hAnsi="黑体" w:eastAsia="仿宋_GB2312"/>
          <w:sz w:val="28"/>
          <w:szCs w:val="28"/>
        </w:rPr>
      </w:pPr>
      <w:r>
        <w:rPr>
          <w:rFonts w:hint="eastAsia" w:ascii="仿宋_GB2312" w:hAnsi="黑体" w:eastAsia="仿宋_GB2312"/>
          <w:sz w:val="28"/>
          <w:szCs w:val="28"/>
        </w:rPr>
        <w:t>1.商业秘密</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（1）经营信息（发展规划、运营状况、客户资源、货源情报、投融资计划、开发计划、标书等）；</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（2）管理信息（管理方法、管理制度、员工管理、合同管理、纠纷管理等）；</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（3）产品及技术信息（设计及图纸、样品及服务、技术方案、质量标准、技术标准、计算机程序等）；</w:t>
      </w:r>
    </w:p>
    <w:p>
      <w:pPr>
        <w:adjustRightInd w:val="0"/>
        <w:snapToGrid w:val="0"/>
        <w:spacing w:line="560" w:lineRule="exact"/>
        <w:outlineLvl w:val="0"/>
        <w:rPr>
          <w:rFonts w:hint="eastAsia" w:ascii="仿宋_GB2312" w:hAnsi="黑体" w:eastAsia="仿宋_GB2312"/>
          <w:sz w:val="28"/>
          <w:szCs w:val="28"/>
        </w:rPr>
      </w:pPr>
      <w:r>
        <w:rPr>
          <w:rFonts w:hint="eastAsia" w:ascii="仿宋_GB2312" w:hAnsi="黑体" w:eastAsia="仿宋_GB2312"/>
          <w:sz w:val="28"/>
          <w:szCs w:val="28"/>
        </w:rPr>
        <w:t>（4）财务信息（财务收支、固定资产、流动资金、成本核算等）；</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1.3、对于上述提及的商业秘密，不能仅因为公开发表的文章或资讯中包含其内容，就认为是可对外公开的特殊情况。</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1.4、以下资料不属于本承诺所指的商业秘密：</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（1）我方从机场公司拟获悉之前已持有的我方无需承担保密义务的机场公司有关资料(但通过其它违约或侵权行为而获得的资料除外)；</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（2）已经公开或已成为常识性的资料，且该等公开并非因违反本承诺所致。</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outlineLvl w:val="0"/>
        <w:rPr>
          <w:rFonts w:hint="eastAsia" w:ascii="仿宋_GB2312" w:hAnsi="黑体" w:eastAsia="仿宋_GB2312"/>
          <w:sz w:val="28"/>
          <w:szCs w:val="28"/>
        </w:rPr>
      </w:pPr>
      <w:r>
        <w:rPr>
          <w:rFonts w:hint="eastAsia" w:ascii="仿宋_GB2312" w:hAnsi="黑体" w:eastAsia="仿宋_GB2312"/>
          <w:sz w:val="28"/>
          <w:szCs w:val="28"/>
        </w:rPr>
        <w:t>（1）披露、使用或者允许他人以不正当手段获取的商业秘密；</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（2）为机场公司以外的第三人窃取、刺探、收买、非法提供商业秘密。</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（3）在电子公告系统、聊天系统、电子邮箱、论坛等计算机网络系统上传递、转发、抄送、发布、谈论和传播商业秘密；</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（5）擅自将属于商业秘密的文件、资料和其他物品携带、传递、寄运出机场公司办公场所或国（境）外。</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（7）将含有机场公司商业秘密的产品、技术或其他资料、信息向第三人销售、使用或以任何方式提供。</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8、违约责任</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8.1因我方违反保密义务的行为造成机场公司的一切损失，我方应当全部予以赔偿。</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供应商(盖章):</w:t>
      </w:r>
    </w:p>
    <w:p>
      <w:pPr>
        <w:spacing w:line="560" w:lineRule="exact"/>
        <w:jc w:val="center"/>
        <w:rPr>
          <w:rFonts w:hint="eastAsia" w:ascii="仿宋_GB2312" w:hAnsi="黑体" w:eastAsia="仿宋_GB2312"/>
          <w:sz w:val="28"/>
          <w:szCs w:val="28"/>
        </w:rPr>
      </w:pPr>
      <w:r>
        <w:rPr>
          <w:rFonts w:hint="eastAsia" w:ascii="仿宋_GB2312" w:hAnsi="黑体" w:eastAsia="仿宋_GB2312"/>
          <w:sz w:val="28"/>
          <w:szCs w:val="28"/>
        </w:rPr>
        <w:t xml:space="preserve">           法定代表人或授权代表：</w:t>
      </w:r>
    </w:p>
    <w:p>
      <w:pPr>
        <w:spacing w:line="560" w:lineRule="exact"/>
        <w:jc w:val="center"/>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jc w:val="center"/>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jc w:val="center"/>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电话/传真：</w:t>
      </w:r>
    </w:p>
    <w:p>
      <w:pPr>
        <w:spacing w:line="560" w:lineRule="exact"/>
        <w:jc w:val="center"/>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地址：</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napToGrid w:val="0"/>
        <w:spacing w:line="560" w:lineRule="exact"/>
        <w:jc w:val="center"/>
        <w:rPr>
          <w:rFonts w:hint="eastAsia" w:ascii="仿宋_GB2312" w:hAnsi="黑体" w:eastAsia="仿宋_GB2312"/>
          <w:sz w:val="28"/>
          <w:szCs w:val="28"/>
        </w:rPr>
      </w:pPr>
      <w:r>
        <w:rPr>
          <w:rFonts w:hint="eastAsia" w:ascii="仿宋_GB2312" w:hAnsi="黑体" w:eastAsia="仿宋_GB2312"/>
          <w:sz w:val="28"/>
          <w:szCs w:val="28"/>
        </w:rPr>
        <w:t xml:space="preserve">         日期：     年   月   日</w:t>
      </w:r>
    </w:p>
    <w:p>
      <w:pPr>
        <w:rPr>
          <w:rFonts w:hint="eastAsia" w:ascii="仿宋_GB2312" w:eastAsia="仿宋_GB2312"/>
          <w:sz w:val="28"/>
          <w:szCs w:val="28"/>
        </w:rPr>
      </w:pP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rPr>
        <w:t xml:space="preserve"> </w:t>
      </w:r>
    </w:p>
    <w:p>
      <w:pPr>
        <w:ind w:firstLine="560"/>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t xml:space="preserve"> </w:t>
      </w:r>
    </w:p>
    <w:p>
      <w:pPr>
        <w:ind w:firstLine="560"/>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t xml:space="preserve"> </w:t>
      </w:r>
    </w:p>
    <w:p>
      <w:pPr>
        <w:ind w:firstLine="560"/>
        <w:rPr>
          <w:rFonts w:hint="eastAsia"/>
          <w:sz w:val="28"/>
          <w:szCs w:val="28"/>
        </w:rPr>
      </w:pPr>
      <w:r>
        <w:t xml:space="preserve"> </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A02C5"/>
    <w:multiLevelType w:val="multilevel"/>
    <w:tmpl w:val="149A02C5"/>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7AC48B6"/>
    <w:multiLevelType w:val="multilevel"/>
    <w:tmpl w:val="17AC48B6"/>
    <w:lvl w:ilvl="0" w:tentative="0">
      <w:start w:val="1"/>
      <w:numFmt w:val="japaneseCounting"/>
      <w:lvlText w:val="第%1条"/>
      <w:lvlJc w:val="left"/>
      <w:pPr>
        <w:ind w:left="1249" w:hanging="735"/>
      </w:pPr>
      <w:rPr>
        <w:rFonts w:hint="default" w:ascii="Times New Roman" w:hAnsi="Times New Roman" w:cs="Times New Roman"/>
      </w:rPr>
    </w:lvl>
    <w:lvl w:ilvl="1" w:tentative="0">
      <w:start w:val="1"/>
      <w:numFmt w:val="lowerLetter"/>
      <w:lvlText w:val="%2)"/>
      <w:lvlJc w:val="left"/>
      <w:pPr>
        <w:ind w:left="1354" w:hanging="420"/>
      </w:pPr>
      <w:rPr>
        <w:rFonts w:hint="default" w:ascii="Times New Roman" w:hAnsi="Times New Roman" w:cs="Times New Roman"/>
      </w:rPr>
    </w:lvl>
    <w:lvl w:ilvl="2" w:tentative="0">
      <w:start w:val="1"/>
      <w:numFmt w:val="lowerRoman"/>
      <w:lvlText w:val="%3."/>
      <w:lvlJc w:val="right"/>
      <w:pPr>
        <w:ind w:left="1774" w:hanging="420"/>
      </w:pPr>
      <w:rPr>
        <w:rFonts w:hint="default" w:ascii="Times New Roman" w:hAnsi="Times New Roman" w:cs="Times New Roman"/>
      </w:rPr>
    </w:lvl>
    <w:lvl w:ilvl="3" w:tentative="0">
      <w:start w:val="1"/>
      <w:numFmt w:val="decimal"/>
      <w:lvlText w:val="%4."/>
      <w:lvlJc w:val="left"/>
      <w:pPr>
        <w:ind w:left="2194" w:hanging="420"/>
      </w:pPr>
      <w:rPr>
        <w:rFonts w:hint="default" w:ascii="Times New Roman" w:hAnsi="Times New Roman" w:cs="Times New Roman"/>
      </w:rPr>
    </w:lvl>
    <w:lvl w:ilvl="4" w:tentative="0">
      <w:start w:val="1"/>
      <w:numFmt w:val="lowerLetter"/>
      <w:lvlText w:val="%5)"/>
      <w:lvlJc w:val="left"/>
      <w:pPr>
        <w:ind w:left="2614" w:hanging="420"/>
      </w:pPr>
      <w:rPr>
        <w:rFonts w:hint="default" w:ascii="Times New Roman" w:hAnsi="Times New Roman" w:cs="Times New Roman"/>
      </w:rPr>
    </w:lvl>
    <w:lvl w:ilvl="5" w:tentative="0">
      <w:start w:val="1"/>
      <w:numFmt w:val="lowerRoman"/>
      <w:lvlText w:val="%6."/>
      <w:lvlJc w:val="right"/>
      <w:pPr>
        <w:ind w:left="3034" w:hanging="420"/>
      </w:pPr>
      <w:rPr>
        <w:rFonts w:hint="default" w:ascii="Times New Roman" w:hAnsi="Times New Roman" w:cs="Times New Roman"/>
      </w:rPr>
    </w:lvl>
    <w:lvl w:ilvl="6" w:tentative="0">
      <w:start w:val="1"/>
      <w:numFmt w:val="decimal"/>
      <w:lvlText w:val="%7."/>
      <w:lvlJc w:val="left"/>
      <w:pPr>
        <w:ind w:left="3454" w:hanging="420"/>
      </w:pPr>
      <w:rPr>
        <w:rFonts w:hint="default" w:ascii="Times New Roman" w:hAnsi="Times New Roman" w:cs="Times New Roman"/>
      </w:rPr>
    </w:lvl>
    <w:lvl w:ilvl="7" w:tentative="0">
      <w:start w:val="1"/>
      <w:numFmt w:val="lowerLetter"/>
      <w:lvlText w:val="%8)"/>
      <w:lvlJc w:val="left"/>
      <w:pPr>
        <w:ind w:left="3874" w:hanging="420"/>
      </w:pPr>
      <w:rPr>
        <w:rFonts w:hint="default" w:ascii="Times New Roman" w:hAnsi="Times New Roman" w:cs="Times New Roman"/>
      </w:rPr>
    </w:lvl>
    <w:lvl w:ilvl="8" w:tentative="0">
      <w:start w:val="1"/>
      <w:numFmt w:val="lowerRoman"/>
      <w:lvlText w:val="%9."/>
      <w:lvlJc w:val="right"/>
      <w:pPr>
        <w:ind w:left="4294" w:hanging="420"/>
      </w:pPr>
      <w:rPr>
        <w:rFonts w:hint="default" w:ascii="Times New Roman" w:hAnsi="Times New Roman" w:cs="Times New Roman"/>
      </w:rPr>
    </w:lvl>
  </w:abstractNum>
  <w:abstractNum w:abstractNumId="2">
    <w:nsid w:val="19BB3F4E"/>
    <w:multiLevelType w:val="multilevel"/>
    <w:tmpl w:val="19BB3F4E"/>
    <w:lvl w:ilvl="0" w:tentative="0">
      <w:start w:val="1"/>
      <w:numFmt w:val="decimal"/>
      <w:lvlText w:val="%1."/>
      <w:lvlJc w:val="left"/>
      <w:pPr>
        <w:ind w:left="874" w:hanging="360"/>
      </w:pPr>
      <w:rPr>
        <w:rFonts w:hint="default" w:ascii="Times New Roman" w:hAnsi="Times New Roman" w:cs="Times New Roman"/>
      </w:rPr>
    </w:lvl>
    <w:lvl w:ilvl="1" w:tentative="0">
      <w:start w:val="1"/>
      <w:numFmt w:val="lowerLetter"/>
      <w:lvlText w:val="%2)"/>
      <w:lvlJc w:val="left"/>
      <w:pPr>
        <w:ind w:left="1354" w:hanging="420"/>
      </w:pPr>
      <w:rPr>
        <w:rFonts w:hint="default" w:ascii="Times New Roman" w:hAnsi="Times New Roman" w:cs="Times New Roman"/>
      </w:rPr>
    </w:lvl>
    <w:lvl w:ilvl="2" w:tentative="0">
      <w:start w:val="1"/>
      <w:numFmt w:val="lowerRoman"/>
      <w:lvlText w:val="%3."/>
      <w:lvlJc w:val="right"/>
      <w:pPr>
        <w:ind w:left="1774" w:hanging="420"/>
      </w:pPr>
      <w:rPr>
        <w:rFonts w:hint="default" w:ascii="Times New Roman" w:hAnsi="Times New Roman" w:cs="Times New Roman"/>
      </w:rPr>
    </w:lvl>
    <w:lvl w:ilvl="3" w:tentative="0">
      <w:start w:val="1"/>
      <w:numFmt w:val="decimal"/>
      <w:lvlText w:val="%4."/>
      <w:lvlJc w:val="left"/>
      <w:pPr>
        <w:ind w:left="2194" w:hanging="420"/>
      </w:pPr>
      <w:rPr>
        <w:rFonts w:hint="default" w:ascii="Times New Roman" w:hAnsi="Times New Roman" w:cs="Times New Roman"/>
      </w:rPr>
    </w:lvl>
    <w:lvl w:ilvl="4" w:tentative="0">
      <w:start w:val="1"/>
      <w:numFmt w:val="lowerLetter"/>
      <w:lvlText w:val="%5)"/>
      <w:lvlJc w:val="left"/>
      <w:pPr>
        <w:ind w:left="2614" w:hanging="420"/>
      </w:pPr>
      <w:rPr>
        <w:rFonts w:hint="default" w:ascii="Times New Roman" w:hAnsi="Times New Roman" w:cs="Times New Roman"/>
      </w:rPr>
    </w:lvl>
    <w:lvl w:ilvl="5" w:tentative="0">
      <w:start w:val="1"/>
      <w:numFmt w:val="lowerRoman"/>
      <w:lvlText w:val="%6."/>
      <w:lvlJc w:val="right"/>
      <w:pPr>
        <w:ind w:left="3034" w:hanging="420"/>
      </w:pPr>
      <w:rPr>
        <w:rFonts w:hint="default" w:ascii="Times New Roman" w:hAnsi="Times New Roman" w:cs="Times New Roman"/>
      </w:rPr>
    </w:lvl>
    <w:lvl w:ilvl="6" w:tentative="0">
      <w:start w:val="1"/>
      <w:numFmt w:val="decimal"/>
      <w:lvlText w:val="%7."/>
      <w:lvlJc w:val="left"/>
      <w:pPr>
        <w:ind w:left="3454" w:hanging="420"/>
      </w:pPr>
      <w:rPr>
        <w:rFonts w:hint="default" w:ascii="Times New Roman" w:hAnsi="Times New Roman" w:cs="Times New Roman"/>
      </w:rPr>
    </w:lvl>
    <w:lvl w:ilvl="7" w:tentative="0">
      <w:start w:val="1"/>
      <w:numFmt w:val="lowerLetter"/>
      <w:lvlText w:val="%8)"/>
      <w:lvlJc w:val="left"/>
      <w:pPr>
        <w:ind w:left="3874" w:hanging="420"/>
      </w:pPr>
      <w:rPr>
        <w:rFonts w:hint="default" w:ascii="Times New Roman" w:hAnsi="Times New Roman" w:cs="Times New Roman"/>
      </w:rPr>
    </w:lvl>
    <w:lvl w:ilvl="8" w:tentative="0">
      <w:start w:val="1"/>
      <w:numFmt w:val="lowerRoman"/>
      <w:lvlText w:val="%9."/>
      <w:lvlJc w:val="right"/>
      <w:pPr>
        <w:ind w:left="4294" w:hanging="420"/>
      </w:pPr>
      <w:rPr>
        <w:rFonts w:hint="default" w:ascii="Times New Roman" w:hAnsi="Times New Roman" w:cs="Times New Roman"/>
      </w:rPr>
    </w:lvl>
  </w:abstractNum>
  <w:abstractNum w:abstractNumId="3">
    <w:nsid w:val="3E9A55F0"/>
    <w:multiLevelType w:val="multilevel"/>
    <w:tmpl w:val="3E9A55F0"/>
    <w:lvl w:ilvl="0" w:tentative="0">
      <w:start w:val="6"/>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FDC6EF6"/>
    <w:multiLevelType w:val="multilevel"/>
    <w:tmpl w:val="4FDC6EF6"/>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DF6"/>
    <w:rsid w:val="00124DB3"/>
    <w:rsid w:val="00165504"/>
    <w:rsid w:val="001D3D37"/>
    <w:rsid w:val="00261A94"/>
    <w:rsid w:val="00364846"/>
    <w:rsid w:val="00425DC9"/>
    <w:rsid w:val="00436D86"/>
    <w:rsid w:val="005A0493"/>
    <w:rsid w:val="00630FFC"/>
    <w:rsid w:val="007A5D37"/>
    <w:rsid w:val="008D5729"/>
    <w:rsid w:val="009550F5"/>
    <w:rsid w:val="009A010A"/>
    <w:rsid w:val="009A398E"/>
    <w:rsid w:val="00A078C2"/>
    <w:rsid w:val="00AB45CC"/>
    <w:rsid w:val="00BB6C9F"/>
    <w:rsid w:val="00BC4E4B"/>
    <w:rsid w:val="00C44B09"/>
    <w:rsid w:val="00E30F3A"/>
    <w:rsid w:val="00E73DF6"/>
    <w:rsid w:val="0BFE2752"/>
    <w:rsid w:val="2FBB6795"/>
    <w:rsid w:val="74C72A0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Document Map"/>
    <w:basedOn w:val="1"/>
    <w:link w:val="11"/>
    <w:uiPriority w:val="0"/>
    <w:rPr>
      <w:rFonts w:ascii="宋体"/>
      <w:sz w:val="18"/>
      <w:szCs w:val="18"/>
    </w:rPr>
  </w:style>
  <w:style w:type="paragraph" w:styleId="3">
    <w:name w:val="Balloon Text"/>
    <w:basedOn w:val="1"/>
    <w:link w:val="12"/>
    <w:uiPriority w:val="0"/>
    <w:rPr>
      <w:sz w:val="18"/>
      <w:szCs w:val="18"/>
    </w:rPr>
  </w:style>
  <w:style w:type="paragraph" w:styleId="4">
    <w:name w:val="footer"/>
    <w:basedOn w:val="1"/>
    <w:link w:val="14"/>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uiPriority w:val="0"/>
    <w:rPr>
      <w:rFonts w:ascii="Calibri" w:hAnsi="Calibri" w:eastAsia="宋体" w:cs="Times New Roman"/>
      <w:color w:val="800080"/>
      <w:u w:val="single"/>
    </w:rPr>
  </w:style>
  <w:style w:type="character" w:styleId="8">
    <w:name w:val="Hyperlink"/>
    <w:uiPriority w:val="0"/>
    <w:rPr>
      <w:rFonts w:ascii="Calibri" w:hAnsi="Calibri" w:eastAsia="宋体" w:cs="Times New Roman"/>
      <w:color w:val="0000FF"/>
      <w:u w:val="single"/>
    </w:rPr>
  </w:style>
  <w:style w:type="paragraph" w:customStyle="1" w:styleId="10">
    <w:name w:val="List Paragraph"/>
    <w:basedOn w:val="1"/>
    <w:uiPriority w:val="0"/>
    <w:pPr>
      <w:ind w:firstLine="420" w:firstLineChars="200"/>
    </w:pPr>
  </w:style>
  <w:style w:type="character" w:customStyle="1" w:styleId="11">
    <w:name w:val="文档结构图 Char"/>
    <w:link w:val="2"/>
    <w:semiHidden/>
    <w:uiPriority w:val="99"/>
    <w:rPr>
      <w:rFonts w:ascii="宋体" w:hAnsi="Calibri" w:eastAsia="宋体" w:cs="Calibri"/>
      <w:sz w:val="18"/>
      <w:szCs w:val="18"/>
    </w:rPr>
  </w:style>
  <w:style w:type="character" w:customStyle="1" w:styleId="12">
    <w:name w:val="批注框文本 Char"/>
    <w:link w:val="3"/>
    <w:semiHidden/>
    <w:uiPriority w:val="99"/>
    <w:rPr>
      <w:rFonts w:ascii="Calibri" w:hAnsi="Calibri" w:eastAsia="宋体" w:cs="Calibri"/>
      <w:kern w:val="2"/>
      <w:sz w:val="18"/>
      <w:szCs w:val="18"/>
    </w:rPr>
  </w:style>
  <w:style w:type="character" w:customStyle="1" w:styleId="13">
    <w:name w:val="页眉 字符"/>
    <w:link w:val="5"/>
    <w:uiPriority w:val="99"/>
    <w:rPr>
      <w:rFonts w:ascii="Calibri" w:hAnsi="Calibri" w:eastAsia="宋体" w:cs="Calibri"/>
      <w:kern w:val="2"/>
      <w:sz w:val="18"/>
      <w:szCs w:val="18"/>
    </w:rPr>
  </w:style>
  <w:style w:type="character" w:customStyle="1" w:styleId="14">
    <w:name w:val="页脚 字符"/>
    <w:link w:val="4"/>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2019-07-05T08:27:46Z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